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9F6" w:rsidRPr="00D269F6" w:rsidRDefault="00D269F6" w:rsidP="00D269F6">
      <w:pPr>
        <w:shd w:val="clear" w:color="auto" w:fill="FFFFFF"/>
        <w:spacing w:after="0" w:line="240" w:lineRule="auto"/>
        <w:jc w:val="center"/>
        <w:textAlignment w:val="baseline"/>
        <w:outlineLvl w:val="0"/>
        <w:rPr>
          <w:rFonts w:ascii="Arial" w:eastAsia="Times New Roman" w:hAnsi="Arial" w:cs="Arial"/>
          <w:b/>
          <w:bCs/>
          <w:color w:val="2D2D2D"/>
          <w:spacing w:val="2"/>
          <w:kern w:val="36"/>
          <w:sz w:val="46"/>
          <w:szCs w:val="46"/>
          <w:lang w:eastAsia="ru-RU"/>
        </w:rPr>
      </w:pPr>
      <w:r w:rsidRPr="00D269F6">
        <w:rPr>
          <w:rFonts w:ascii="Arial" w:eastAsia="Times New Roman" w:hAnsi="Arial" w:cs="Arial"/>
          <w:b/>
          <w:bCs/>
          <w:color w:val="2D2D2D"/>
          <w:spacing w:val="2"/>
          <w:kern w:val="36"/>
          <w:sz w:val="46"/>
          <w:szCs w:val="46"/>
          <w:lang w:eastAsia="ru-RU"/>
        </w:rPr>
        <w:t>ОБ УТВЕРЖДЕНИИ ПРОГНОЗА НАУЧНО-ТЕХНОЛОГИЧЕСКОГО РАЗВИТИЯ ВОРОНЕЖСКОЙ ОБЛАСТИ ДО 2030 ГОДА (с изменениями на: 05.06.2014)</w:t>
      </w:r>
    </w:p>
    <w:p w:rsidR="00D269F6" w:rsidRPr="00D269F6" w:rsidRDefault="00D269F6" w:rsidP="00D269F6">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D269F6">
        <w:rPr>
          <w:rFonts w:ascii="Arial" w:eastAsia="Times New Roman" w:hAnsi="Arial" w:cs="Arial"/>
          <w:color w:val="3C3C3C"/>
          <w:spacing w:val="2"/>
          <w:sz w:val="31"/>
          <w:szCs w:val="31"/>
          <w:lang w:eastAsia="ru-RU"/>
        </w:rPr>
        <w:t> </w:t>
      </w:r>
      <w:r w:rsidRPr="00D269F6">
        <w:rPr>
          <w:rFonts w:ascii="Arial" w:eastAsia="Times New Roman" w:hAnsi="Arial" w:cs="Arial"/>
          <w:color w:val="3C3C3C"/>
          <w:spacing w:val="2"/>
          <w:sz w:val="31"/>
          <w:szCs w:val="31"/>
          <w:lang w:eastAsia="ru-RU"/>
        </w:rPr>
        <w:br/>
        <w:t>ПРАВИТЕЛЬСТВО ВОРОНЕЖСКОЙ ОБЛАСТИ </w:t>
      </w:r>
    </w:p>
    <w:p w:rsidR="00D269F6" w:rsidRPr="00D269F6" w:rsidRDefault="00D269F6" w:rsidP="00D269F6">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D269F6">
        <w:rPr>
          <w:rFonts w:ascii="Arial" w:eastAsia="Times New Roman" w:hAnsi="Arial" w:cs="Arial"/>
          <w:color w:val="3C3C3C"/>
          <w:spacing w:val="2"/>
          <w:sz w:val="31"/>
          <w:szCs w:val="31"/>
          <w:lang w:eastAsia="ru-RU"/>
        </w:rPr>
        <w:t>ПОСТАНОВЛЕНИЕ </w:t>
      </w:r>
    </w:p>
    <w:p w:rsidR="00D269F6" w:rsidRPr="00D269F6" w:rsidRDefault="00D269F6" w:rsidP="00D269F6">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D269F6">
        <w:rPr>
          <w:rFonts w:ascii="Arial" w:eastAsia="Times New Roman" w:hAnsi="Arial" w:cs="Arial"/>
          <w:color w:val="3C3C3C"/>
          <w:spacing w:val="2"/>
          <w:sz w:val="31"/>
          <w:szCs w:val="31"/>
          <w:lang w:eastAsia="ru-RU"/>
        </w:rPr>
        <w:t> от 26 марта 2014 года N 245 </w:t>
      </w:r>
    </w:p>
    <w:p w:rsidR="00D269F6" w:rsidRPr="00D269F6" w:rsidRDefault="00D269F6" w:rsidP="00D269F6">
      <w:pPr>
        <w:shd w:val="clear" w:color="auto" w:fill="FFFFFF"/>
        <w:spacing w:before="150" w:after="75" w:line="288" w:lineRule="atLeast"/>
        <w:jc w:val="center"/>
        <w:textAlignment w:val="baseline"/>
        <w:rPr>
          <w:rFonts w:ascii="Arial" w:eastAsia="Times New Roman" w:hAnsi="Arial" w:cs="Arial"/>
          <w:color w:val="3C3C3C"/>
          <w:spacing w:val="2"/>
          <w:sz w:val="31"/>
          <w:szCs w:val="31"/>
          <w:lang w:eastAsia="ru-RU"/>
        </w:rPr>
      </w:pPr>
      <w:r w:rsidRPr="00D269F6">
        <w:rPr>
          <w:rFonts w:ascii="Arial" w:eastAsia="Times New Roman" w:hAnsi="Arial" w:cs="Arial"/>
          <w:color w:val="3C3C3C"/>
          <w:spacing w:val="2"/>
          <w:sz w:val="31"/>
          <w:szCs w:val="31"/>
          <w:lang w:eastAsia="ru-RU"/>
        </w:rPr>
        <w:t>ОБ УТВЕРЖДЕНИИ ПРОГНОЗА НАУЧНО-ТЕХНОЛОГИЧЕСКОГО РАЗВИТИЯ ВОРОНЕЖСКОЙ ОБЛАСТИ ДО 2030 ГОДА</w:t>
      </w:r>
    </w:p>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(в ред. постановления правительства Воронежской области от 05.06.2014 N 511)</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В соответствии с </w:t>
      </w:r>
      <w:hyperlink r:id="rId4" w:history="1">
        <w:r w:rsidRPr="00D269F6">
          <w:rPr>
            <w:rFonts w:ascii="Arial" w:eastAsia="Times New Roman" w:hAnsi="Arial" w:cs="Arial"/>
            <w:color w:val="00466E"/>
            <w:spacing w:val="2"/>
            <w:sz w:val="21"/>
            <w:u w:val="single"/>
            <w:lang w:eastAsia="ru-RU"/>
          </w:rPr>
          <w:t>постановлением правительства Воронежской области от 04.04.2013 N 292 "О разработке прогноза научно-технологического развития Воронежской области до 2030 года"</w:t>
        </w:r>
      </w:hyperlink>
      <w:r w:rsidRPr="00D269F6">
        <w:rPr>
          <w:rFonts w:ascii="Arial" w:eastAsia="Times New Roman" w:hAnsi="Arial" w:cs="Arial"/>
          <w:color w:val="2D2D2D"/>
          <w:spacing w:val="2"/>
          <w:sz w:val="21"/>
          <w:szCs w:val="21"/>
          <w:lang w:eastAsia="ru-RU"/>
        </w:rPr>
        <w:t> и в целях развития региональной инновационной системы и наиболее перспективных областей применения науки и технологий, реализации конкурентных преимуществ и обеспечения нового качества жизни населения региона правительство Воронежской области </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постановляет:</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Утвердить прилагаемый прогноз научно-технологического развития Воронежской области до 2030 года.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2. Контроль за исполнением настоящего постановления оставляю за собой.</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Временно исполняющий обязанности</w:t>
      </w:r>
      <w:r w:rsidRPr="00D269F6">
        <w:rPr>
          <w:rFonts w:ascii="Arial" w:eastAsia="Times New Roman" w:hAnsi="Arial" w:cs="Arial"/>
          <w:color w:val="2D2D2D"/>
          <w:spacing w:val="2"/>
          <w:sz w:val="21"/>
          <w:szCs w:val="21"/>
          <w:lang w:eastAsia="ru-RU"/>
        </w:rPr>
        <w:br/>
        <w:t>губернатора Воронежской области</w:t>
      </w:r>
      <w:r w:rsidRPr="00D269F6">
        <w:rPr>
          <w:rFonts w:ascii="Arial" w:eastAsia="Times New Roman" w:hAnsi="Arial" w:cs="Arial"/>
          <w:color w:val="2D2D2D"/>
          <w:spacing w:val="2"/>
          <w:sz w:val="21"/>
          <w:szCs w:val="21"/>
          <w:lang w:eastAsia="ru-RU"/>
        </w:rPr>
        <w:br/>
        <w:t>А.В.ГОРДЕЕВ</w:t>
      </w:r>
    </w:p>
    <w:p w:rsidR="00D269F6" w:rsidRPr="00D269F6" w:rsidRDefault="00D269F6" w:rsidP="00D269F6">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D269F6">
        <w:rPr>
          <w:rFonts w:ascii="Arial" w:eastAsia="Times New Roman" w:hAnsi="Arial" w:cs="Arial"/>
          <w:color w:val="3C3C3C"/>
          <w:spacing w:val="2"/>
          <w:sz w:val="31"/>
          <w:szCs w:val="31"/>
          <w:lang w:eastAsia="ru-RU"/>
        </w:rPr>
        <w:t>ПРОГНОЗ НАУЧНО-ТЕХНОЛОГИЧЕСКОГО РАЗВИТИЯ ВОРОНЕЖСКОЙ ОБЛАСТИ ДО 2030 ГОДА</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Утвержден</w:t>
      </w:r>
      <w:r w:rsidRPr="00D269F6">
        <w:rPr>
          <w:rFonts w:ascii="Arial" w:eastAsia="Times New Roman" w:hAnsi="Arial" w:cs="Arial"/>
          <w:color w:val="2D2D2D"/>
          <w:spacing w:val="2"/>
          <w:sz w:val="21"/>
          <w:szCs w:val="21"/>
          <w:lang w:eastAsia="ru-RU"/>
        </w:rPr>
        <w:br/>
        <w:t>постановлением</w:t>
      </w:r>
      <w:r w:rsidRPr="00D269F6">
        <w:rPr>
          <w:rFonts w:ascii="Arial" w:eastAsia="Times New Roman" w:hAnsi="Arial" w:cs="Arial"/>
          <w:color w:val="2D2D2D"/>
          <w:spacing w:val="2"/>
          <w:sz w:val="21"/>
          <w:szCs w:val="21"/>
          <w:lang w:eastAsia="ru-RU"/>
        </w:rPr>
        <w:br/>
        <w:t>правительства Воронежской области</w:t>
      </w:r>
      <w:r w:rsidRPr="00D269F6">
        <w:rPr>
          <w:rFonts w:ascii="Arial" w:eastAsia="Times New Roman" w:hAnsi="Arial" w:cs="Arial"/>
          <w:color w:val="2D2D2D"/>
          <w:spacing w:val="2"/>
          <w:sz w:val="21"/>
          <w:szCs w:val="21"/>
          <w:lang w:eastAsia="ru-RU"/>
        </w:rPr>
        <w:br/>
        <w:t>"Об утверждении прогноза</w:t>
      </w:r>
      <w:r w:rsidRPr="00D269F6">
        <w:rPr>
          <w:rFonts w:ascii="Arial" w:eastAsia="Times New Roman" w:hAnsi="Arial" w:cs="Arial"/>
          <w:color w:val="2D2D2D"/>
          <w:spacing w:val="2"/>
          <w:sz w:val="21"/>
          <w:szCs w:val="21"/>
          <w:lang w:eastAsia="ru-RU"/>
        </w:rPr>
        <w:br/>
        <w:t>научно-технологического развития</w:t>
      </w:r>
      <w:r w:rsidRPr="00D269F6">
        <w:rPr>
          <w:rFonts w:ascii="Arial" w:eastAsia="Times New Roman" w:hAnsi="Arial" w:cs="Arial"/>
          <w:color w:val="2D2D2D"/>
          <w:spacing w:val="2"/>
          <w:sz w:val="21"/>
          <w:szCs w:val="21"/>
          <w:lang w:eastAsia="ru-RU"/>
        </w:rPr>
        <w:br/>
        <w:t>Воронежской области до 2030 года"</w:t>
      </w:r>
      <w:r w:rsidRPr="00D269F6">
        <w:rPr>
          <w:rFonts w:ascii="Arial" w:eastAsia="Times New Roman" w:hAnsi="Arial" w:cs="Arial"/>
          <w:color w:val="2D2D2D"/>
          <w:spacing w:val="2"/>
          <w:sz w:val="21"/>
          <w:szCs w:val="21"/>
          <w:lang w:eastAsia="ru-RU"/>
        </w:rPr>
        <w:br/>
        <w:t>от 26.03.2014 N 245</w:t>
      </w:r>
    </w:p>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lastRenderedPageBreak/>
        <w:t>(в ред. постановления правительства Воронежской области от 05.06.2014 N 511)</w:t>
      </w:r>
    </w:p>
    <w:p w:rsidR="00D269F6" w:rsidRPr="00D269F6" w:rsidRDefault="00D269F6" w:rsidP="00D269F6">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69F6">
        <w:rPr>
          <w:rFonts w:ascii="Arial" w:eastAsia="Times New Roman" w:hAnsi="Arial" w:cs="Arial"/>
          <w:color w:val="4C4C4C"/>
          <w:spacing w:val="2"/>
          <w:sz w:val="29"/>
          <w:szCs w:val="29"/>
          <w:lang w:eastAsia="ru-RU"/>
        </w:rPr>
        <w:t>1. Внешние условия научно-технологического развития Воронежской области до 2030 года</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В качестве внешних рассматриваются условия, связанные с основными тенденциями развития мировой экономики. Эти тенденции отражают изменения, происходящие в основных секторах и отраслях мирового хозяйства, ключевых сегментах мирового рынка товаров и услуг.</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составе этих условий следует выделить: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Глобализацию. В результате расширения мирохозяйственных связей возрастет совокупный инвестиционный потенциал (частный, государственный, международных организаций), что обусловит повышательный тренд прямых иностранных инвестиций. Ускорение международного кругооборота предпринимательского капитала расширит масштабы и спектр видов экономической деятельности, в управлении которыми возрастет роль организационных инноваций, апробированных в передовой зарубежной практике корпоративного и публичного менеджмента.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2. Возрастание роли инновационного фактора. Начинают складываться контуры нового технологического уклада, важными характеристиками которого могут стать, в том числе: внедрение экономически приемлемых технологий альтернативной энергетики, снижающих зависимость от углеводородных топливно-энергетических ресурсов; использование в здравоохранении генетических методов лечения и биоинформатики.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Комплексный прогноз научно-технического развития, выработанный ведущими мировыми аналитиками, выделяет следующие основные инновационные контуры начала XXI века: информационные и телекоммуникационные технологии, медицина и здравоохранение, защита окружающей среды.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Формирование современных инновационных контуров включает следующие мировые технологические тренды: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совместное использование новейших достижений генетики, информатики и нанотехнологий в здравоохранении;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охрану природы на основе широкого распространения принципов безотходного производства в промышленности, сокращения вредных выбросов на транспорте;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обеспечение широкого круга пользователей новыми способами сбора, хранения, мониторинга, обработки и передачи информации в режиме реального времени;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распространение материалов с новыми качественными характеристиками (пластмассы, текстильные волокна и металлы с заранее заданными свойствами, специальные покрытия для режущих инструментов и металлов для применения их в особо агрессивных средах);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 глобальную конкуренцию за установление новых отраслевых стандартов. Создание базовых продуктовых платформ в производстве и потреблении по широкому спектру новых направлений технологического развития;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усиление роли международных стандартов качества и экологического соответствия в организации глобальных производственно-территориальных систем.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3. Вступление России во Всемирную торговую организацию (далее - ВТО), системная оценка возможностей и рисков которого на национальном и региональном уровнях до сих пор отсутствует.</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составе ожидаемых последствий: снятие институциональных барьеров для внешнеторговых связей; понижение ввозных таможенных пошлин на отдельные товары, не производимые в Российской Федерации; выравнивание внутренних цен на сырьевые товары и продукты их первичных переделов внутри страны и на мировых рынках; рост тарифов на транспортные услуги и энергоснабжение; усиление борьбы с контрафактными товарами; расширение возможностей работы в стране иностранных банков и финансовых организаций.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Наибольшие выгоды от вступления в ВТО смогут извлечь экспортно-ориентированные отрасли (секторы обрабатывающей промышленности, ориентированные на экспорт, - металлургия, химическая промышленность).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Сложности будет испытывать обрабатывающая промышленность в защищенных и ориентированных преимущественно на внутренний рынок секторах (пищевая и легкая промышленность; производство отдельных видов строительных материалов, техники и оборудования). В российской сфере бизнес-услуг произойдет значительное увеличение объемов прямых иностранных инвестиций (далее - ПИИ) и числа действующих иностранных компаний. Общий уровень занятости не изменится, хотя возможны отраслевые и региональные перетоки рабочей силы.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Повышение открытости российского рынка выражается во включении Российской Федерации и ее регионов в зону действия глобальных торговых систем, действующих как в розничном ритейле, так и в торговле продукцией производственно-технического назначения, например в оптовом рынке металлопродукции (так называемом рынке металлотрейдеров, или вторичном рынке металлов). Возрастет значение логистических и транспортных систем.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Следует ожидать внедрения в Российской Федерации международных норм разработки основных сырьевых ресурсов, в том числе ужесточения экологических требований, повышения эффективности действия в Российской Федерации Киотского протокола. С одной стороны, это создает условия для расширения рынков, появления новых возможностей для борьбы с торговой дискриминацией российских товаров на зарубежных рынках, роста выручки поставщиков сырья. С другой стороны, учитывая высокую материалоемкость и энергоемкость базового сектора экономики страны, усилится конкуренция для российских, в том числе региональных производителей, причем не только </w:t>
      </w:r>
      <w:r w:rsidRPr="00D269F6">
        <w:rPr>
          <w:rFonts w:ascii="Arial" w:eastAsia="Times New Roman" w:hAnsi="Arial" w:cs="Arial"/>
          <w:color w:val="2D2D2D"/>
          <w:spacing w:val="2"/>
          <w:sz w:val="21"/>
          <w:szCs w:val="21"/>
          <w:lang w:eastAsia="ru-RU"/>
        </w:rPr>
        <w:lastRenderedPageBreak/>
        <w:t>высокотехнологичной продукции, но и массовой продукции первичных переделов.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Эффект от вступления в ВТО для предприятий Воронежской области будет иметь дифференцированный характер.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Наиболее чувствительными к присоединению к ВТО по показателю соотношения объемов импорта и внутреннего производства в текущих ценах окажутся такие виды экономической деятельности, как производство мяса и мясопродуктов, производство молочных продуктов, производство машин и оборудования для сельского хозяйства. Рост импорта относительно внутреннего производства будет самым значительным в производстве мяса, мясных и молочных продуктов.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Существенным фактором, в силу которого доля импорта по отдельным группам может вырасти, является соотношение "цена - качество": например, сельхозпроизводители предпочитают покупать импортную технику из-за эксплуатационных характеристик, несмотря на то, что стоимость ее гораздо выше отечественной.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Усилится конкуренция в сегментах, где и в настоящее время ощущается давление иностранных производителей (сельскохозяйственная техника, гражданское авиастроение, оптовая и розничная торговля). Менее драматичным вступление России в ВТО выглядит для предприятий химической и нефтехимической промышленности, что обусловлено либо их масштабами и прочностью позиций на национальном и мировом рынках, либо вхождением в крупные российские холдинги, либо тесным сотрудничеством с мировыми лидерами.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Изменение условий доступа на рынок услуг затронет лишь некоторые секторы услуг (финансовых, страховых, информационных) и соответствующих инструментов регулирования.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отношении большинства секторов услуг и инструментов регулирования заметного изменения практики применения мер и ограничений не произойдет, поскольку они не входят в сферу обязательств в рамках Генерального соглашения по торговле услугами. Кроме того, при общем низком уровне развития сектора услуг приток иностранных капиталов и расширение деятельности иностранных поставщиков услуг способны оказать положительное стимулирующее воздействие. Возможно ухудшение положения на рынке и ослабление конкурентных позиций некоторых банковских и страховых компаний, однако эти трудности могут испытывать отдельные фирмы, но не экономика области в целом.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Наряду с условиями общесистемного действия, значимыми для экономики региона в целом, важную роль будут играть внешние условия, выступающие в качестве значимого фактора, влияющего на состояние и перспективы развития отдельных секторов и отраслей социально-экономической системы Воронежской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Промышленность.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В структуре промышленности экономики развитых стран прогнозируется существенное </w:t>
      </w:r>
      <w:r w:rsidRPr="00D269F6">
        <w:rPr>
          <w:rFonts w:ascii="Arial" w:eastAsia="Times New Roman" w:hAnsi="Arial" w:cs="Arial"/>
          <w:color w:val="2D2D2D"/>
          <w:spacing w:val="2"/>
          <w:sz w:val="21"/>
          <w:szCs w:val="21"/>
          <w:lang w:eastAsia="ru-RU"/>
        </w:rPr>
        <w:lastRenderedPageBreak/>
        <w:t>повышение удельного веса машиностроения. Такое предположение основано на следующих основных предпосылках: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машиностроительный комплекс является главной капиталообразующей отраслью хозяйства, в продукции которой получают материальное воплощение практически все достижения научно-технического прогресса. При этом роль, которую играет машиностроение в формировании активной части основного капитала экономики, неуклонно усиливается;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продукция машиностроения имеет важное значение в удовлетворении спроса населения на разнообразные технические средства, роль машиностроения в этой области неуклонно возрастает;</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основными направлениями качественного совершенствования продукции машиностроения, расширения и обновления ее номенклатуры в прогнозном периоде будут следующие: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рост технико-экономической эффективности новых видов машин и оборудования в расчете на единицу веса, потребляемой энергии, занимаемой площади, а также стоимости (в отдельных случаях и при абсолютном снижении последней);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дальнейшее расширение сферы и масштабов автоматизации производственных процессов, создание комплексов или систем машин, а также комплексных систем управления и контроля технологических процессов, режимов работы на базе самой разнообразной электронной и электронофицированной техники;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электронофикация большинства видов техники (производственной и бытовой) как важный путь повышения эффективности их использования;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массовое внедрение разнообразной электронофицированной техники в торговле, здравоохранении, в научных исследованиях, что обусловит дальнейшее радикальное изменение характера и масштабов применения живого труда в указанных сферах;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распространение энергосберегающих технологий и видов техники в промышленности, на транспорте, в сфере быта;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разработка и использование оборудования для малоотходных либо замкнутых, безотходных технологических процессов в ряде отраслей промышленности;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разработка специализированного оборудования для экологически чистых технологических процессов и мониторинга окружающей среды;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 разработка и внедрение новых видов машин и оборудования в тех производствах, где резервы дальнейшего повышения эффективности существующей техники близки к исчерпанию (энергетика, химия, черная металлургия, колесный транспорт, добыча полезных ископаемых и др.), а также в таких областях, как освоение космического пространства, </w:t>
      </w:r>
      <w:r w:rsidRPr="00D269F6">
        <w:rPr>
          <w:rFonts w:ascii="Arial" w:eastAsia="Times New Roman" w:hAnsi="Arial" w:cs="Arial"/>
          <w:color w:val="2D2D2D"/>
          <w:spacing w:val="2"/>
          <w:sz w:val="21"/>
          <w:szCs w:val="21"/>
          <w:lang w:eastAsia="ru-RU"/>
        </w:rPr>
        <w:lastRenderedPageBreak/>
        <w:t>прибрежного шельфа, морского дна;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постепенное внедрение и последующее промышленное использование оборудования для принципиально новых технологических процессов на базе биотехнологий, ферментных катализаторов, мембранных технологий, молекулярных, фотонных, радиационных, лазерных методов и др.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Изменение отраслевой структуры машиностроительного комплекса будет происходить в направлении повышения доли продукции электронного машиностроения (включая приборостроение) при одновременном снижении доли производства металлоизделий, металлообработки и отчасти транспортного машиностроения. Достаточно стабильной будет в перспективе оставаться доля продукции общего и электротехнического машиностроения.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развитии машиностроительного комплекса в прогнозном периоде будут заметны следующие основные тенденции: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автоматизация будет охватывать все существующие типы машиностроительного производства независимо от уровня серийности;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более широкое распространение получат так называемые гибкие технологии, позволяющие эффективно изготовлять продукцию мелкими партиями (либо даже в единичных экземплярах) в соответствии с изменениями рыночного спроса;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повышение роли и значения мелких предприятий (до 100 занятых) как важного фактора, обеспечивающего гибкость и эффективность машиностроительного производства;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постепенное сокращение станочного парка в отраслях машиностроения при одновременном увеличении его производственной мощности и технико-экономической эффективности;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сокращение численности занятых (абсолютное или, как минимум, ее прироста), замедление темпов роста основного капитала и снижение капиталоемкости продукции.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АПК.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конце XX - начале XXI века передовые страны вступили в новую технологическую стадию информационно-биологического сельского хозяйства, которая пришла на смену машинной стадии. Основными чертами новой стадии являются: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автоматизация ключевых производственных процессов в растениеводстве и животноводстве;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установление непрерывно действующих виртуальных прямых и обратных бизнес-связей (система GPS в полеводстве, непрерывно обновляемые электронные базы данных в племенном деле в животноводстве и др.);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 сочетание традиционных севооборотов с управлением участками ("битами") поля;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постепенное расширение делового применения достижений биотехнологии.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Мир находится на начальных этапах информационно-биологической стадии, и в последующие годы нас ожидают еще более крупные технологические сдвиги. Процесс будет идти по пути все большей интеграции "информационной" и "биологической" составляющих технологий.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Учитывая сложившуюся специализацию АПК Воронежской области, следует, прежде всего, зафиксировать изменения, ожидаемые в его маслично-зерновом секторе. Высока вероятность воздействия на его развитие роста мирового рынка в связи с развитием биоэнергетики, что в обозримой перспективе приведет к дополнительному росту спроса в мире на зерно и масличные, прежде всего, для нужд экспорта.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Рост внутреннего спроса на зерно произойдет со стороны производителей в области животноводства (прогноз показывает, что в сопредельном регионе - Белгородской области ожидается в среднесрочном периоде "дефицит" зернофуража до 1 млн. тонн).</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При вступлении России в ВТО Правительству РФ удалось добиться достаточно высокого уровня выделения субсидий в агропромышленный комплекс, принятого за базу отсчета в так называемой "желтой корзине". Они согласованы на сумму 9 млрд. 200 млн. долларов США с последующим поэтапным 20-процентным сокращением за каждые три года в течение 6-летнего периода с момента присоединения. Поэтому стратегическим направлением развития станет приоритетное использование "зеленой корзины", затраты по которой ВТО не лимитируются и потому растут высокими темпами. "Зеленая корзина" включает научные исследования и разработки, подготовку кадров, информационно-консультационное обслуживание, ветеринарные и фитосанитарные мероприятия, страхование урожая, содержание продовольственных запасов, компенсации ущерба от стихийных бедствий, программы регионального развития и т.д. Именно по этим направлениям будет в первую очередь оказываться государственная помощь сельскому хозяйству.</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Комплекс связи.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Одним из важнейших направлений развития материально-технической базы телекоммуникаций является интеграция - максимальное объединение различных видов информации в единой сети с едиными техническими принципами и элементами. Широкополосная сеть - "супермагистраль" XXI века будет осуществлять прием и передачу всех видов информации (мультимедийных услуг) независимо от их характера и объема.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структуре продукции связи следует ожидать значительных изменений. Порог насыщения услугами традиционной телефонной сети пройден в середине 90-х годов XX века и составил 50 - 60 стационарных телефонов на 100 жителей. Спрос на услуги мобильной (сотовой) радиотелефонной связи вплотную приблизился к "планке", достигнутой традиционным телефоном. В ведущих развитых странах, а также в России этот рубеж уже позади, уровень насыщения стремится к 100-процентному охвату.</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К наиболее перспективным услугам следует отнести Интернет, факсимильную (в том числе цветную в стационарном и мобильном исполнении) передачу данных (в том числе на широкополосной основе), конференц-связь, радиотелефонную связь, цифровое и кабельное телевидение, видеотелефонный телетекст, электронную почту.</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Одновременно идет интеграция различных типов терминального оборудования в единый "телекоммуникационный комбайн", выполненный на основе персонального компьютера с унификацией доступа ко всем видам связи, который и станет основой для использования технологии мультимедиа. Объем информации, передаваемый новыми службами связи, будет расти, как ожидается, в развитых странах на 15 - 20% в год до 2020 года.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рассматриваемой перспективе следует ожидать расслоение рынка услуг связи на три категории операторов: основных сетей (инфраструктурных), которые, по некоторым оценкам, могут стать подотчетны государству; контент-провайдеров (компании-операторы, создающие содержательное компьютерное наполнение для различных каналов связи) и продавцов сервиса (розничных и оптовых).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Образование.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Анализ мирового рынка образовательных услуг позволяет сделать следующие заключения: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количество иностранных студентов в мире стабильно растет, и в условиях глобализации, формирования общества знаний, интеграционных процессов в сфере высшего образования рост будет продолжаться;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экспорт образовательных услуг становится высоко прибыльной статьей в структуре общего экспорта страны;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ориентация на экспорт образовательных услуг и получаемые от него значительные финансовые средства содействуют не только модернизации системы высшего образования, но и активизации потребительского спроса в стране;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основные предпочтения на рынке образовательных услуг связаны с бизнес-образованием (около 25% студентов), техническими и инженерными науками (20%), естественными науками (20%).</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Заметной тенденцией является развитие транснационального образования и создание транснациональных университетов, которыми осуществляется предоставление образовательных услуг на международном уровне нетрадиционными провайдерами.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настоящее время транснациональное образование осуществляется с помощью различных технологий обучения, которые в зависимости от способа доставки информации студенту можно классифицировать следующим образом: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онлайновые - предоставляемые через Интернет, спутники, специальные сети;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 дистанционные - предоставляемые через все возможные средства связи;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традиционные - предоставляемые классическим способом: посредством общения с преподавателем по очной, очно-заочной и заочной формам обучения.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Важной тенденцией развития профессионального образования является формирование университетов третьего возраста, которые решают несколько задач: изменение стереотипа и жизненных установок пожилых людей, формирование новой модели их личностного поведения, исключающей пассивную потребительскую позицию и увеличивающей степень участия в общественной жизни, решение проблем социальной отчужденности, подготовка к пенсии и расширение кругозора у лиц старшего возраста, подготовка к общественной деятельности. В США, Японии и многих европейских странах университеты третьего возраста стали открываться в 70 - 80-е годы прошлого века. В России это явление достаточно новое: подобные учебные заведения начали открываться только в 2000-х годах в некоторых городах (Владимире, Тюмени, Омске и др.).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Медицина, фармацевтика.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Качественные изменения связаны, прежде всего, с процессом индивидуализации оказания медицинской помощи, концепцией ее станет не столько реакция на появление у человека заболевания, сколько предупреждение его возникновения и отдаление старения. К концу прогнозного периода на базе информационно-коммуникационных технологий (далее - ИКТ) будет сформирована система полного персонализированного обследования пациентов, консультаций и оказания амбулаторной помощи в стенах так называемого "умного дома".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Прогнозируется использование нанотехнологий: микрочастицы, запущенные в организм человека, будут отслеживать состояние здоровья и "подправлять" его. Потребители в области профилактики старения будут больше полагаться на традиционные методы - индивидуальная диета в сочетании с физической нагрузкой, а также обращение к лекарствам. Это означает, что значительных нововведений следует ожидать в пищевой промышленности и связанных с нею отраслях. Уже сейчас пищевая промышленность выпускает разного рода "полезные" продукты. Однако они рассчитаны на оздоровление человека "вообще". В дальнейшем появится больше "специализированных", нацеленных на определенные особенности человека продуктов.</w:t>
      </w:r>
    </w:p>
    <w:p w:rsidR="00D269F6" w:rsidRPr="00D269F6" w:rsidRDefault="00D269F6" w:rsidP="00D269F6">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69F6">
        <w:rPr>
          <w:rFonts w:ascii="Arial" w:eastAsia="Times New Roman" w:hAnsi="Arial" w:cs="Arial"/>
          <w:color w:val="4C4C4C"/>
          <w:spacing w:val="2"/>
          <w:sz w:val="29"/>
          <w:szCs w:val="29"/>
          <w:lang w:eastAsia="ru-RU"/>
        </w:rPr>
        <w:t>2. Проблемы развития научно-технологического комплекса России и ее регионов</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Совершенствование научно-технологического комплекса страны и региона (Воронежской области) возможно только на основе идеи инновационного развития. Такой подход нашел отражение в документах федеральных и региональных органов власти и управления, регламентирующих процессы социально-экономического развития, в теоретических и практических работах региональных лидеров.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В числе внутренних проблем, определяющих способы решения задач, следует выделить: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Запаздывание в постановке задач инновационного технико-технологического развития. Анализ позволяет сделать вывод, что в начале 2000-х годов точки зрения органов власти и управления (в том числе региональных лидеров) отличались значительным разнообразием.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 известной степенью условности их можно разделить на три группы: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слабое видение необходимости инновационного развития;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достаточно отчетливое видение проблемы без попыток разработать инструментарий инновационного развития;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попытки поставить проблему конструктивного воздействия на инновационное развитие.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2. Завышение оценок уровня технико-технологического развития регионов.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Анализ документарной базы регионов показывает, что оценка состояния технико-технологического состояния предприятий реального сектора экономики, как правило, завышена.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Основной акцент сделан на объемах финансирования безотносительно направлений научно-технического и технико-технологического развития регионов.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качестве предпосылок инновационного научно-технического развития, как правило, выделяются: наличие инновационного потенциала, научной базы (научно-исследовательских институтов, конструкторских бюро, высших учебных заведений), значительного количества специалистов в области технических наук, большого количества студентов. Оценка составляющих указанного потенциала производится без достаточного анализа его качественных и количественных характеристик.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то же время в документах региональных органов власти и управления выделяются реальные проблемы научно-технического и технико-технологического развития: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значительная степень физического и морального износа основных производственных фондов;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недостаток средств на совершенствование и развитие производства;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низкий удельный вес инновационной продукции в общем объеме производства;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дефицит профессиональных кадров.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3. Обоснование инструментария развития научно-технического прогресса на стадии постановки проблемы являлось фрагментарным и слабо структурированным.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В составе инструментов развития научно-технического прогресса (далее - НТП) преимущественно указываются: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проведение конференций;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организация выставок инновационных проектов;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 и поддержка технопарков;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вручение премий в области науки и техники;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вовлечение в хозяйственный оборот объектов интеллектуальной собственности;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осуществление мероприятий по энергосбережению;</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научно-образовательной сферы в целях повышения качества трудовых ресурсов;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 региональных центров научно-технической информации;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активизация развития телекоммуникаций;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использование геоинформационных систем для создания земельного кадастра;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 "технологических коридоров", связывающих региональный центр с другими административно-территориальными образованиями, обладающими значительным научным и технологическим потенциалом;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придание приоритетного характера производству интеллектуальных продуктов;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проведение научно-технической конверсии оборонно-промышленного комплекса (далее - ОПК), создание и использование технологий двойного назначения (выделения гражданских технологий из военных);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информационной индустрии;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 новейших технологий;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инновационного и человеческого потенциала. Определение творческого ресурса российского общества в качестве структурообразующего звена экономики;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модернизация и развитие образовательных структур;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воспитание государственного отношения у руководителей всех уровней к проблеме развития российской инновационной экономики;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научно-техническое сотрудничество с отечественными и зарубежными институтами;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 формирование единой информационно-аналитической базы и методики оценки проектов.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 Совершенствование инструментария управления развитием НТП в современных условиях.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Постановка с 2005 года проблемы научно-технологического развития в стране привела к реформированию представлений региональных органов власти и управления о направлениях и механизме ее решения. Инновационная составляющая отмечается как самое важное направление социально-экономического развития регионов в целом. Во многих регионах акцент сделан на формирование инновационной инфраструктуры - технопарков и бизнес-инкубаторов.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числе мер государственной поддержки инновационной деятельности отмечаются: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организация выставок, ярмарок и других рекламных мероприятий;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 системы комплексной поддержки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производства, повышение конкурентоспособности и экспорта наукоемкой продукции;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инфраструктуры инновационного процесса, включая системы информационного обеспечения, систему экспертизы, сертификации и продвижения разработок, подготовки и переподготовки кадров;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малого инновационного предпринимательства путем формирования благоприятных условий для образования и успешного функционирования малых высокотехнологичных организаций и оказания им государственной поддержки на начальном этапе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совершенствование конкурсной системы отбора инновационных проектов;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 единой региональной системы внедрения научно-технического и инновационного продукта (создание технопарков, бизнес-инкубаторов, венчурных фондов и других подобных структур);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организация информационного обеспечения (в частности, создание системы учета направлений и результатов деятельности организаций научно-технической сферы в целях мониторинга инновационных процессов) научной и инновационной деятельности, популяризация достижений;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подготовка высококвалифицированных кадров для работы в инновационной и научной сферах.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Комплексный анализ инновационного развития страны и ее регионов показал выраженный </w:t>
      </w:r>
      <w:r w:rsidRPr="00D269F6">
        <w:rPr>
          <w:rFonts w:ascii="Arial" w:eastAsia="Times New Roman" w:hAnsi="Arial" w:cs="Arial"/>
          <w:color w:val="2D2D2D"/>
          <w:spacing w:val="2"/>
          <w:sz w:val="21"/>
          <w:szCs w:val="21"/>
          <w:lang w:eastAsia="ru-RU"/>
        </w:rPr>
        <w:lastRenderedPageBreak/>
        <w:t>состав факторов инновационного развития в регионах: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особенности научно-технического и производственного потенциала;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кадровое обеспечение;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социальные и экологические проблемы инноваций;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формирование инновационной инфраструктуры;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региональный характер малого инновационного предпринимательства;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защита интеллектуальной собственности;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влияние внешнеэкономических связей на инновационную активность;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количественный и качественный состав занятости.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составе факторов региональной научно-технической политики и ее инструментов выделяются: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высокая эффективность научно-исследовательских и опытно-конструкторских работ (далее - НИОКР);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гибкий рынок труда. Высокий уровень предложения высококвалифицированной рабочей силы и ее высокая мобильность;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правовая среда, в которой права собственности на инновации имеют четкое определение;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низкие процентные ставки по кредитам (в особенности на проведение НИОКР).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Для регионов с крупным инновационным потенциалом в качестве действенных факторов реализации научно-технической политики отмечаются: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разработка и принятие комплекса нормативно-законодательных актов по поддержке инновационного предпринимательства;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региональной инфраструктуры инновационной деятельности, что предполагает создание инновационных центров, инновационно-инвестиционных структур (венчурных фондов), координационных советов по научной, научно-технической и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 системы переподготовки кадров для инновационной сферы и системы услуг для малого наукоемкого предпринимательства;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 сбор, анализ, экспертиза информации и формирование региональных баз данных </w:t>
      </w:r>
      <w:r w:rsidRPr="00D269F6">
        <w:rPr>
          <w:rFonts w:ascii="Arial" w:eastAsia="Times New Roman" w:hAnsi="Arial" w:cs="Arial"/>
          <w:color w:val="2D2D2D"/>
          <w:spacing w:val="2"/>
          <w:sz w:val="21"/>
          <w:szCs w:val="21"/>
          <w:lang w:eastAsia="ru-RU"/>
        </w:rPr>
        <w:lastRenderedPageBreak/>
        <w:t>приоритетных высокоэффективных инновационных технологий по основным направлениям развития территорий;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организация регионального инновационного мониторинга;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проведение международных мероприятий, придающих региону черты инновационного центра.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 середины прошлого десятилетия исследования в области инновационного развития регионов кардинально изменились. Инновационное развитие стало смещаться в центры стратегических разработок регионов и теоретических исследований. Многие процессы, в том числе и имеющие более широкое значение, стали рассматриваться с позиций их влияния на инновационное развитие административно-территориальных образований.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Сектор малого и среднего инновационного предпринимательства имеет большое значение для регионального инновационного развития. В качестве важного инструмента его поддержки называют создание специализированных организаций, являющихся проводниками государственной политики по поддержке инновационной деятельности, которые обеспечивают финансовую, имущественную, образовательную, консультационную поддержку малых предприятий в рамках целевых комплексных программ.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Особое внимание уделяется механизмам государственно-частного партнерства.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Существенное значение придается венчурному финансированию конкретных объектов и направлений развития бизнеса, имеющих существенное значение для регионального развития.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составе инструментов развития НТП следует отметить обучение руководителей организаций на льготных условиях по направлениям создания и коммерциализации новых продуктов и технологий; консультирование по вопросам имущественной, финансовой и организационной поддержки; аналитическое сопровождение бизнеса и бизнес-идей.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Анализ опыта управления инновационным развитием регионов позволяет определить следующие приоритетные направления региональной инновационной политики: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прогрессивные структурные преобразования;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выявление отраслевых проблем, требующих развития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формирование инновационных региональных программ поддержки субъектов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проведение конкурсов и иных мероприятий по реализации инновационных программ и проектов;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 и развитие инфраструктуры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 поддержка производителей отечественной инновационной продукции на международном рынке;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согласование деятельности учреждений науки, образования, предприятий промышленного и финансового секторов в развитии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Технико-технологическое развитие в регионах связывается с решением двух стратегических задач:</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повышением качества жизни населения;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созданием потенциала опережающего развития.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качестве наиболее важных ограничителей развития НТП отмечаются: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недостаточная финансовая поддержка государства;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ограниченность собственных источников финансирования;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слабый спрос на инновационную продукцию;</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высокая стоимость нововведений;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высокий риск экономических потерь.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Опыт решения проблем развития НТП в лидирующих регионах позволил выявить его основные компоненты.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Традиционно декларируемое повышение качества жизни и сопровождающих его процессов: технологического развития, производства конкурентоспособной наукоемкой продукции и т.д. Данная декларация является обязательным атрибутом всех инновационных и любых иных стратегий, политик, программ и не несет особой смысловой нагрузки, кроме подчеркивания общей направленности деятельности органов власти и управления.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2. В системе целей определяется единство процессов качества экономического роста и институциональных изменений, направленных на диверсификацию производства.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3. Совершенно определенно формулируется общая цель в преобразовании производственного комплекса - формирование новейших технологических укладов и модернизация связанных с ними производств.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4. Целевые установки имеют хорошее инструментальное обеспечение. В регионах развита инновационная инфраструктура, на их территориях функционируют практически все известные виды технопарков и финансовых институтов развития (технополисы, </w:t>
      </w:r>
      <w:r w:rsidRPr="00D269F6">
        <w:rPr>
          <w:rFonts w:ascii="Arial" w:eastAsia="Times New Roman" w:hAnsi="Arial" w:cs="Arial"/>
          <w:color w:val="2D2D2D"/>
          <w:spacing w:val="2"/>
          <w:sz w:val="21"/>
          <w:szCs w:val="21"/>
          <w:lang w:eastAsia="ru-RU"/>
        </w:rPr>
        <w:lastRenderedPageBreak/>
        <w:t>технологические парки, индустриальные парки, бизнес-инкубаторы, инвестиционно-венчурные фонды и др.).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5. Ряд регионов в своих нормативных документах делает акцент на развитие точек (полюсов) роста, прежде всего - в обрабатывающей промышленности (авиастроение, транспортно-логистические комплексы), ориентированных в перспективе на интеграцию в мировые системы.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6. В качестве инструментов инновационного развития складывается ориентация на создание и поддержку кластеров, особенно высокотехнологичных (атомного, автомобильного, авиационного и др.).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7. В качестве эффективного направления называется создание территориальных сетей развития взаимодействия крупного и малого предпринимательства. Основными целями таких сетей считаются: создание информационного поля для регионального крупного и малого бизнеса; содействие крупному и малому бизнесу в установлении контактов при реализации долгосрочных проектов; информирование бизнес-структур о проектах развития малого предпринимательства и инновационной деятельности, реализуемых региональными органами; информирование бизнес-структур о потенциальных иностранных партнерах.</w:t>
      </w:r>
    </w:p>
    <w:p w:rsidR="00D269F6" w:rsidRPr="00D269F6" w:rsidRDefault="00D269F6" w:rsidP="00D269F6">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69F6">
        <w:rPr>
          <w:rFonts w:ascii="Arial" w:eastAsia="Times New Roman" w:hAnsi="Arial" w:cs="Arial"/>
          <w:color w:val="4C4C4C"/>
          <w:spacing w:val="2"/>
          <w:sz w:val="29"/>
          <w:szCs w:val="29"/>
          <w:lang w:eastAsia="ru-RU"/>
        </w:rPr>
        <w:t>3. Научно-технологический комплекс Воронежской области</w:t>
      </w:r>
    </w:p>
    <w:p w:rsidR="00D269F6" w:rsidRPr="00D269F6" w:rsidRDefault="00D269F6" w:rsidP="00D269F6">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69F6">
        <w:rPr>
          <w:rFonts w:ascii="Arial" w:eastAsia="Times New Roman" w:hAnsi="Arial" w:cs="Arial"/>
          <w:color w:val="4C4C4C"/>
          <w:spacing w:val="2"/>
          <w:sz w:val="29"/>
          <w:szCs w:val="29"/>
          <w:lang w:eastAsia="ru-RU"/>
        </w:rPr>
        <w:t>3.1. Тенденции развития научно-образовательных процессов в Воронежской области</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3.1.1. Эффективность управления научно-технологическим комплексом зависит от региональных условий, в которых складываются отношения между высшей школой, научными организациями, предприятиями реального и финансового секторов экономики. Для получения теоретически и практически значимых результатов, характеризующих состояние научно-технологического комплекса, в настоящей работе используется теоретико-методологический подход, включающий следующие основные позиции: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Состояние и динамика научно-технологического комплекса Воронежской области рассматривается в контексте его развития в регионах страны. Его слабые и сильные стороны оцениваются в рамках российского регионального социально-экономического пространства. Необходимость в таком подходе вытекает из высокого уровня обособленности регионов страны от общемировых научно-технологических процессов и высокого уровня их (регионов) дифференциации по различным параметрам социально-экономического и научно-технологического развития.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2. Одним из существенных требований к формированию информационного массива является выбор временного интервала анализа. Для оценки достаточно длительных процессов, к которым относится развитие научно-технологического комплекса, минимально необходимым является интервал в 8 - 10 лет, обеспечивающий получение индивидом </w:t>
      </w:r>
      <w:r w:rsidRPr="00D269F6">
        <w:rPr>
          <w:rFonts w:ascii="Arial" w:eastAsia="Times New Roman" w:hAnsi="Arial" w:cs="Arial"/>
          <w:color w:val="2D2D2D"/>
          <w:spacing w:val="2"/>
          <w:sz w:val="21"/>
          <w:szCs w:val="21"/>
          <w:lang w:eastAsia="ru-RU"/>
        </w:rPr>
        <w:lastRenderedPageBreak/>
        <w:t>высшего, послевузовского образования, некоторых научных результатов и включение в воспроизводственную систему региона в качестве исследователя, руководителя или исполнителя, выполняющего функции, требующие высшего профессионального образования.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Для анализа показателей развития научно-образовательной деятельности в период с 2000 по 2010 год далее приводятся замеры в периоды выхода из системного кризиса 1990-х годов (2000 год); окончания подъема (2007 год), выхода из кризиса 2008 - 2009 годы (2010 год). Таким образом, анализ осуществлен на 11-летнем временном интервале.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3. В качестве инструментария формирования информационного массива использована виртуальная кластеризация научно-образовательного пространства (теоретические основы заложены И. Манделем, М. Олдендерфером, Р. Блэшфилдом).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Подбор показателей для кластерного анализа осуществлен таким образом, чтобы они характеризовали состояние научно-образовательной системы региона и результаты ее функционирования, реализуемые на выходе из системы и, соответственно, входе в смежные.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 Институциональная целостность научно-образовательной системы региона может характеризоваться соотношением значений ее показателей в статическом и динамическом плане. В настоящем анализе выделены показатели, представленные в официальной статистике. Расчет произведен по 80 регионам страны; по десяти показателям, характеризующим научно-образовательную деятельность в регионах (таблица 1).</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1</w:t>
      </w:r>
    </w:p>
    <w:p w:rsidR="00D269F6" w:rsidRPr="00D269F6" w:rsidRDefault="00D269F6" w:rsidP="00D269F6">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69F6">
        <w:rPr>
          <w:rFonts w:ascii="Arial" w:eastAsia="Times New Roman" w:hAnsi="Arial" w:cs="Arial"/>
          <w:color w:val="4C4C4C"/>
          <w:spacing w:val="2"/>
          <w:sz w:val="29"/>
          <w:szCs w:val="29"/>
          <w:lang w:eastAsia="ru-RU"/>
        </w:rPr>
        <w:t>Показатели научно-образовательной деятельности в регионах страны</w:t>
      </w:r>
    </w:p>
    <w:tbl>
      <w:tblPr>
        <w:tblW w:w="0" w:type="auto"/>
        <w:tblCellMar>
          <w:left w:w="0" w:type="dxa"/>
          <w:right w:w="0" w:type="dxa"/>
        </w:tblCellMar>
        <w:tblLook w:val="04A0"/>
      </w:tblPr>
      <w:tblGrid>
        <w:gridCol w:w="1762"/>
        <w:gridCol w:w="7593"/>
      </w:tblGrid>
      <w:tr w:rsidR="00D269F6" w:rsidRPr="00D269F6" w:rsidTr="00D269F6">
        <w:trPr>
          <w:trHeight w:val="15"/>
        </w:trPr>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8686"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Показатели</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Наименование показателей</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образовательных учреждений высшего профессионального образования (на начало учебного года) (ЧОУ ВПО)</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Численность студентов образовательных учреждений высшего профессионального образования (на начало учебного года; тысяч человек) (ЧСОУ ВПО)</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Прием студентов в образовательные учреждения высшего профессионального образования (тысяч человек) (ПСОУ ВПО)</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Численность студентов образовательных учреждений высшего профессионального образования на 10000 человек населения (на начало учебного года; человек) (ЧСОУ ВПО/10000)</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организаций, выполнявших научные исследования и разработки (ЧОВНИиР)</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Численность персонала, занятого научными исследованиями и разработками (человек) (ЧПНИиР)</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Численность исследователей с учеными степенями (человек) (ЧИсУС)</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lastRenderedPageBreak/>
              <w:t>8</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Внутренние затраты на научные исследования и разработки (тыс. рублей) (ВЗнНИиР)</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созданных передовых производственных технологий (ЧСППТ)</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w:t>
            </w:r>
          </w:p>
        </w:tc>
        <w:tc>
          <w:tcPr>
            <w:tcW w:w="8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используемых передовых производственных технологий (ЧИППТ)</w:t>
            </w:r>
          </w:p>
        </w:tc>
      </w:tr>
    </w:tbl>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5. На основании избранных показателей анализа выделены 5 кластеров и произведено их ранжирование: лучший по сумме средних значений показателей, на основании которых сформированы кластеры, обозначен "А", остальные занимают позиции в следующей последовательности - "Б", "В", "Г", "Д".</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Распределение значений показателей научно-образовательных кластеров в 2000 году представлено в таблице 2.</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Таблица 2. Кластеры научно-образовательной деятельности в 2000 году</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2</w:t>
      </w:r>
    </w:p>
    <w:tbl>
      <w:tblPr>
        <w:tblW w:w="0" w:type="auto"/>
        <w:tblCellMar>
          <w:left w:w="0" w:type="dxa"/>
          <w:right w:w="0" w:type="dxa"/>
        </w:tblCellMar>
        <w:tblLook w:val="04A0"/>
      </w:tblPr>
      <w:tblGrid>
        <w:gridCol w:w="1686"/>
        <w:gridCol w:w="1610"/>
        <w:gridCol w:w="1483"/>
        <w:gridCol w:w="1610"/>
        <w:gridCol w:w="1483"/>
        <w:gridCol w:w="1483"/>
      </w:tblGrid>
      <w:tr w:rsidR="00D269F6" w:rsidRPr="00D269F6" w:rsidTr="00D269F6">
        <w:trPr>
          <w:trHeight w:val="15"/>
        </w:trPr>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Показатели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А</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Б</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В</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Г</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Д</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0,195628</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0,091635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0,044171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0,028209</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0,196412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0,105584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0,047340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0,025989</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0,209302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0,116795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0,050984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0,026737</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0,444884</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0,395438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0,351599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0,220239</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0,222933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0,077856</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0,023475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0,022408</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0,217209</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0,041760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0,006760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0,011234</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0,116413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0,023127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0,005681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0,004870</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0,221117</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0,037608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0,006111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0,009073</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0,439316</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0,094017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0,014245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0,030261</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0,955805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0,503895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0,224681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0,030883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0,043523</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Сумма значений</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9,955805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2,767109</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1,208502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0,581248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0,422543</w:t>
            </w:r>
          </w:p>
        </w:tc>
      </w:tr>
    </w:tbl>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3.1.2. Анализ показал следующие результаты: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Воронежская область входила в кластер "В", включающий тринадцать регионов: республики Башкортостан, Татарстан, Удмуртию; Пермский край; Воронежскую, Волгоградскую, Ростовскую, Саратовскую, Тюменскую, Челябинскую, Новосибирскую, Омскую, Томскую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Достаточно сильны позиции кластера по показателям: "численность студентов образовательных учреждений высшего профессионального образования на 10000 человек населения" (N 4) и "число используемых передовых производственных технологий" (N 10).</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Наиболее слабые показатели: "число образовательных учреждений высшего профессионального образования" (N 1); "численность персонала, занятого научными исследованиями и разработками" (N 6); "численность исследователей с учеными степенями" (N 7); "внутренние затраты на научные исследования и разработки" (N 8); "число созданных передовых производственных технологий" (N 9).</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Таким образом, можно говорить о наличии трех выраженных диспропорциях в научно-образовательном комплексе кластера "В":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более высокий уровень использования технологий, чем их создания;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низкая численность персонала, занятого исследованиями и разработками, исследователей с учеными степенями, не соответствующая высоким позициям в формировании студенческого контингента;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существенные различия показателей, отражающие низкий уровень использования студенческого контингента в научных исследованиях и недостаточное финансирование их потенциала.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Значения показателей кластеров в 2007 году представлены в таблице 3.</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Таблица 3. Кластеры научно-образовательной деятельности в 2007 году</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3</w:t>
      </w:r>
    </w:p>
    <w:tbl>
      <w:tblPr>
        <w:tblW w:w="0" w:type="auto"/>
        <w:tblCellMar>
          <w:left w:w="0" w:type="dxa"/>
          <w:right w:w="0" w:type="dxa"/>
        </w:tblCellMar>
        <w:tblLook w:val="04A0"/>
      </w:tblPr>
      <w:tblGrid>
        <w:gridCol w:w="1686"/>
        <w:gridCol w:w="1610"/>
        <w:gridCol w:w="1483"/>
        <w:gridCol w:w="1610"/>
        <w:gridCol w:w="1483"/>
        <w:gridCol w:w="1483"/>
      </w:tblGrid>
      <w:tr w:rsidR="00D269F6" w:rsidRPr="00D269F6" w:rsidTr="00D269F6">
        <w:trPr>
          <w:trHeight w:val="15"/>
        </w:trPr>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Показатели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А</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Б</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В</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Г</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Д</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0,168972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0,083286</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0,032869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0,012545</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0,195490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0,119441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0,047864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0,017880</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0,204406</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0,129572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0,052090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0,020083</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0,458333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0,440191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0,366239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0,246689</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0,272129</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0,079375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0,028866</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0,014822</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0,234476</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0,043813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0,011793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0,004124</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0,143112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0,019784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0,010023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0,004136</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0,195821</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0,031198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0,008389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0,003138</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0,558943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0,105691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0,035730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0,011665</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0,663780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0,498708</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0,100141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0,055170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0,017617</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Сумма значений</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9,663780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2,930390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1,152494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0,649032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0,352698</w:t>
            </w:r>
          </w:p>
        </w:tc>
      </w:tr>
    </w:tbl>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Кластер "В", в составе которого сохранилась Воронежская область, количественно увеличился (14 регионов) и несколько изменил свой состав. Из кластера выбыли: республика Удмуртия, Пермский край, Волгоградская область, ухудшившие свои позиции. В состав кластера вошли: Самарская область (выбывшая из кластера "Б"); Краснодарский, Хабаровский, Красноярский края. Состав кластера достаточно стабилен. Тем не менее, можно говорить о появлении ядра кластера и своеобразного "облака", периферии, образуемой регионами, входящими в кластер не во всех расчетных точках.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Относительно сильную позицию кластер занимает по показателю "численность студентов образовательных учреждений высшего профессионального образования на 10000 человек населения" (0,44), по числу используемых передовых производственных технологий сильная позиция утрачена.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Относительно невысокий уровень (до 0,1) сохранился по всем показателям, выделенным в </w:t>
      </w:r>
      <w:r w:rsidRPr="00D269F6">
        <w:rPr>
          <w:rFonts w:ascii="Arial" w:eastAsia="Times New Roman" w:hAnsi="Arial" w:cs="Arial"/>
          <w:color w:val="2D2D2D"/>
          <w:spacing w:val="2"/>
          <w:sz w:val="21"/>
          <w:szCs w:val="21"/>
          <w:lang w:eastAsia="ru-RU"/>
        </w:rPr>
        <w:lastRenderedPageBreak/>
        <w:t>2000 году: "число образовательных учреждений высшего профессионального образования" (N 1); "численность персонала, занятого научными исследованиями и разработками" (N 6); "численность исследователей с учеными степенями" (N 7); "внутренние затраты на научные исследования и разработки" (N 8); "число созданных передовых производственных технологий" (N 9).</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целом положение кластера в 2007 году относительно лидера (г. Москва) несколько ухудшилось.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достаточно благоприятном по экономической конъюнктуре 2010 году произошло выравнивание общего состояния кластеров по совокупности показателей, характеризующих научно-образовательное развитие (таблица 4).</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Таблица 4. Кластеры научно-образовательной деятельности в 2010 году</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4</w:t>
      </w:r>
    </w:p>
    <w:tbl>
      <w:tblPr>
        <w:tblW w:w="0" w:type="auto"/>
        <w:tblCellMar>
          <w:left w:w="0" w:type="dxa"/>
          <w:right w:w="0" w:type="dxa"/>
        </w:tblCellMar>
        <w:tblLook w:val="04A0"/>
      </w:tblPr>
      <w:tblGrid>
        <w:gridCol w:w="1681"/>
        <w:gridCol w:w="1637"/>
        <w:gridCol w:w="1478"/>
        <w:gridCol w:w="1603"/>
        <w:gridCol w:w="1478"/>
        <w:gridCol w:w="1478"/>
      </w:tblGrid>
      <w:tr w:rsidR="00D269F6" w:rsidRPr="00D269F6" w:rsidTr="00D269F6">
        <w:trPr>
          <w:trHeight w:val="15"/>
        </w:trPr>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Показатели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А</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Б</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В</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Г</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Д</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0,159515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0,071642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0,029722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0,018897</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0,207452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0,117148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0,050022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0,032178</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0,223467</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0,131258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0,056002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0,035925</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0,519041</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0,464227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0,495344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0,325069</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0,261698</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0,072638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0,026784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0,020916</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0,233546</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0,043482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0,009599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0,005907</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0,127926</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0,021994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0,007739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0,004824</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0,216287</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0,030369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0,008027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0,004222</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0,343902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0,072195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0,016484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0,008969</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0,551334</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0,239355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0,052173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0,059586</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Сумма значений</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10,000000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2,844168</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1,264308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0,751896</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0,516494</w:t>
            </w:r>
          </w:p>
        </w:tc>
      </w:tr>
    </w:tbl>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Средний по уровню развития научно-образовательный кластер "В" сохранил сформировавшееся ранее ядро в сокращенном составе. В составе ядра определенно закрепились 10 регионов: республики - Татарстан, Башкортостан; области - Воронежская, Ростовская, Самарская, Саратовская, Тюменская, Челябинская, Новосибирская, Омская. Воронежская область заняла медианное положение в кластере с суммарным значением средних нормированных показателей 1,277764 при среднем значении по кластеру 1,264308.</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Выбыли из состава кластера Красноярский, Хабаровский края и Томская область. Возвратились в состав кластера Удмуртская Республика и Пермский край, покинувшие его в 2007 году. Впервые заняли позиции в кластере "В" Калужская и Тульская области. Краснодарский край, не входивший в состав кластера в 2000 году, занял место в кластере "В", как и в 2007 году.</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Основные характеристики кластера в анализируемом периоде демонстрирует рис. 1.</w:t>
      </w:r>
    </w:p>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Pr>
          <w:rFonts w:ascii="Arial" w:eastAsia="Times New Roman" w:hAnsi="Arial" w:cs="Arial"/>
          <w:noProof/>
          <w:color w:val="2D2D2D"/>
          <w:spacing w:val="2"/>
          <w:sz w:val="21"/>
          <w:szCs w:val="21"/>
          <w:lang w:eastAsia="ru-RU"/>
        </w:rPr>
        <w:lastRenderedPageBreak/>
        <w:drawing>
          <wp:inline distT="0" distB="0" distL="0" distR="0">
            <wp:extent cx="5543550" cy="2619375"/>
            <wp:effectExtent l="19050" t="0" r="0" b="0"/>
            <wp:docPr id="1" name="Рисунок 1" descr="ОБ УТВЕРЖДЕНИИ ПРОГНОЗА НАУЧНО-ТЕХНОЛОГИЧЕСКОГО РАЗВИТИЯ ВОРОНЕЖСКОЙ ОБЛАСТИ ДО 2030 ГОДА (с изменениями на: 05.06.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 УТВЕРЖДЕНИИ ПРОГНОЗА НАУЧНО-ТЕХНОЛОГИЧЕСКОГО РАЗВИТИЯ ВОРОНЕЖСКОЙ ОБЛАСТИ ДО 2030 ГОДА (с изменениями на: 05.06.2014)"/>
                    <pic:cNvPicPr>
                      <a:picLocks noChangeAspect="1" noChangeArrowheads="1"/>
                    </pic:cNvPicPr>
                  </pic:nvPicPr>
                  <pic:blipFill>
                    <a:blip r:embed="rId5"/>
                    <a:srcRect/>
                    <a:stretch>
                      <a:fillRect/>
                    </a:stretch>
                  </pic:blipFill>
                  <pic:spPr bwMode="auto">
                    <a:xfrm>
                      <a:off x="0" y="0"/>
                      <a:ext cx="5543550" cy="2619375"/>
                    </a:xfrm>
                    <a:prstGeom prst="rect">
                      <a:avLst/>
                    </a:prstGeom>
                    <a:noFill/>
                    <a:ln w="9525">
                      <a:noFill/>
                      <a:miter lim="800000"/>
                      <a:headEnd/>
                      <a:tailEnd/>
                    </a:ln>
                  </pic:spPr>
                </pic:pic>
              </a:graphicData>
            </a:graphic>
          </wp:inline>
        </w:drawing>
      </w:r>
    </w:p>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Рис. 1. Показатели научно-образовательной деятельности</w:t>
      </w:r>
      <w:r w:rsidRPr="00D269F6">
        <w:rPr>
          <w:rFonts w:ascii="Arial" w:eastAsia="Times New Roman" w:hAnsi="Arial" w:cs="Arial"/>
          <w:color w:val="2D2D2D"/>
          <w:spacing w:val="2"/>
          <w:sz w:val="21"/>
          <w:szCs w:val="21"/>
          <w:lang w:eastAsia="ru-RU"/>
        </w:rPr>
        <w:br/>
        <w:t>кластера "В" в период 2000 - 2010 годов</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Для углубления анализа использован второй вариант кластеризации, основанный на трех важнейших воспроизводимых ресурсах - основные фонды, функционирующая рабочая сила (среднегодовая численность занятых) и научно-образовательный потенциал (сумма нормированных значений, характеризующих научно-образовательную деятельность). Состав показателей представлен в таблице 5. Ранги кластеров сохранены в том же виде, что и при первом варианте кластеризации: "А1", "Б1", "В1", "Г1", "Д1".</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Таблица 5. Состав показателей ресурсного потенциала регионов</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5</w:t>
      </w:r>
    </w:p>
    <w:tbl>
      <w:tblPr>
        <w:tblW w:w="0" w:type="auto"/>
        <w:tblCellMar>
          <w:left w:w="0" w:type="dxa"/>
          <w:right w:w="0" w:type="dxa"/>
        </w:tblCellMar>
        <w:tblLook w:val="04A0"/>
      </w:tblPr>
      <w:tblGrid>
        <w:gridCol w:w="1777"/>
        <w:gridCol w:w="7578"/>
      </w:tblGrid>
      <w:tr w:rsidR="00D269F6" w:rsidRPr="00D269F6" w:rsidTr="00D269F6">
        <w:trPr>
          <w:trHeight w:val="15"/>
        </w:trPr>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8501"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Показатели</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Наименование показателей</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11</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Стоимость основных фондов &lt;1&gt;</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12</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Среднегодовая численность занятых в экономике &lt;2&gt;</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13</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Сумма нормированных показателей научно-образовательной деятельности</w:t>
            </w:r>
          </w:p>
        </w:tc>
      </w:tr>
    </w:tbl>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________________</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&lt;1&gt; На конец года; по полной учетной стоимости; миллионов рублей.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&lt;2&gt; Расчет на основе данных, полученных из различных источников информации (см. методологические пояснения Госкомстата, с. 144); тыс. человек.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Анализ данных за 2000 - 2010 годы показал существенное влияние научно-образовательного потенциала на конфигурацию кластеров ресурсного потенциала регионов.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Позиции регионов в кластере В1 сохранились практически неизменными с некоторым улучшением положения Воронежской области.</w:t>
      </w:r>
    </w:p>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Pr>
          <w:rFonts w:ascii="Arial" w:eastAsia="Times New Roman" w:hAnsi="Arial" w:cs="Arial"/>
          <w:noProof/>
          <w:color w:val="2D2D2D"/>
          <w:spacing w:val="2"/>
          <w:sz w:val="21"/>
          <w:szCs w:val="21"/>
          <w:lang w:eastAsia="ru-RU"/>
        </w:rPr>
        <w:lastRenderedPageBreak/>
        <w:drawing>
          <wp:inline distT="0" distB="0" distL="0" distR="0">
            <wp:extent cx="5543550" cy="2333625"/>
            <wp:effectExtent l="19050" t="0" r="0" b="0"/>
            <wp:docPr id="2" name="Рисунок 2" descr="ОБ УТВЕРЖДЕНИИ ПРОГНОЗА НАУЧНО-ТЕХНОЛОГИЧЕСКОГО РАЗВИТИЯ ВОРОНЕЖСКОЙ ОБЛАСТИ ДО 2030 ГОДА (с изменениями на: 05.06.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Б УТВЕРЖДЕНИИ ПРОГНОЗА НАУЧНО-ТЕХНОЛОГИЧЕСКОГО РАЗВИТИЯ ВОРОНЕЖСКОЙ ОБЛАСТИ ДО 2030 ГОДА (с изменениями на: 05.06.2014)"/>
                    <pic:cNvPicPr>
                      <a:picLocks noChangeAspect="1" noChangeArrowheads="1"/>
                    </pic:cNvPicPr>
                  </pic:nvPicPr>
                  <pic:blipFill>
                    <a:blip r:embed="rId6"/>
                    <a:srcRect/>
                    <a:stretch>
                      <a:fillRect/>
                    </a:stretch>
                  </pic:blipFill>
                  <pic:spPr bwMode="auto">
                    <a:xfrm>
                      <a:off x="0" y="0"/>
                      <a:ext cx="5543550" cy="2333625"/>
                    </a:xfrm>
                    <a:prstGeom prst="rect">
                      <a:avLst/>
                    </a:prstGeom>
                    <a:noFill/>
                    <a:ln w="9525">
                      <a:noFill/>
                      <a:miter lim="800000"/>
                      <a:headEnd/>
                      <a:tailEnd/>
                    </a:ln>
                  </pic:spPr>
                </pic:pic>
              </a:graphicData>
            </a:graphic>
          </wp:inline>
        </w:drawing>
      </w:r>
    </w:p>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Рис. 2. Динамика показателей ресурсного потенциала кластера</w:t>
      </w:r>
      <w:r w:rsidRPr="00D269F6">
        <w:rPr>
          <w:rFonts w:ascii="Arial" w:eastAsia="Times New Roman" w:hAnsi="Arial" w:cs="Arial"/>
          <w:color w:val="2D2D2D"/>
          <w:spacing w:val="2"/>
          <w:sz w:val="21"/>
          <w:szCs w:val="21"/>
          <w:lang w:eastAsia="ru-RU"/>
        </w:rPr>
        <w:br/>
        <w:t>"В1" в период 2000 - 2010 годов</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Состав кластера "В1" по состоянию на 2010 год: Воронежская область, Краснодарский край, Ростовская область, республики Башкортостан, Татарстан, Пермский край, Самарская, Саратовская, Тюменская, Челябинская, Новосибирская, Омская, Томская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Третий вариант кластеризации предусматривает расширение исходного состава показателей (таблица 6) за счет включения в него показателей, использованных во втором варианте кластеризации (стоимость основных фондов и среднегодовая численность занятых). Ранги кластеров сохранены, как и в предыдущих вариантах ("А2", "Б2", "В2", "Г2", "Д2").</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Таблица 6. Сводный состав показателей для кластеризации регионов</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6</w:t>
      </w:r>
    </w:p>
    <w:tbl>
      <w:tblPr>
        <w:tblW w:w="0" w:type="auto"/>
        <w:tblCellMar>
          <w:left w:w="0" w:type="dxa"/>
          <w:right w:w="0" w:type="dxa"/>
        </w:tblCellMar>
        <w:tblLook w:val="04A0"/>
      </w:tblPr>
      <w:tblGrid>
        <w:gridCol w:w="1774"/>
        <w:gridCol w:w="7581"/>
      </w:tblGrid>
      <w:tr w:rsidR="00D269F6" w:rsidRPr="00D269F6" w:rsidTr="00D269F6">
        <w:trPr>
          <w:trHeight w:val="15"/>
        </w:trPr>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8501"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Показатели</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Наименование показателей</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образовательных учреждений высшего профессионального образования (единиц) &lt;3&gt;</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Численность студентов образовательных учреждений высшего профессионального образования (тыс. чел.) &lt;4&gt;</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Прием студентов в образовательные учреждения высшего профессионального образования (тыс. чел.)</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Численность студентов образовательных учреждений высшего профессионального образования на 10000 человек населения (человек) &lt;5&gt;</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организаций, выполнявших научные исследования и разработки (единиц)</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Численность персонала, занятого научными исследованиями и разработками (чел.)</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Численность исследователей с учеными степенями (чел.)</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Внутренние затраты на научные исследования и разработки (тыс. рублей)</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созданных передовых производственных технологий (ед.)</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используемых передовых производственных технологий (ед.)</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11</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Стоимость основных фондов (на конец года; по полной учетной стоимости (млн. рублей))</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lastRenderedPageBreak/>
              <w:t>12</w:t>
            </w:r>
          </w:p>
        </w:tc>
        <w:tc>
          <w:tcPr>
            <w:tcW w:w="85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Среднегодовая численность занятых в экономике (тыс. чел.)</w:t>
            </w:r>
          </w:p>
        </w:tc>
      </w:tr>
    </w:tbl>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________________</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&lt;3&gt; На начало учебного года.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&lt;4&gt; На начало учебного года.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&lt;5&gt; На начало учебного года.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Как показано на рисунке 3, наиболее успешно шло развитие кластера "В2" по "численности студентов на 10000 человек населения" (рост показателя на протяжении всего периода 2000 - 2010 годов); заметно улучшение по "общей численности студентов" и их приему в вузы. Иначе говоря, в регионах кластера "В2" происходит активизация институциональной группы "население".</w:t>
      </w:r>
      <w:r w:rsidRPr="00D269F6">
        <w:rPr>
          <w:rFonts w:ascii="Arial" w:eastAsia="Times New Roman" w:hAnsi="Arial" w:cs="Arial"/>
          <w:color w:val="2D2D2D"/>
          <w:spacing w:val="2"/>
          <w:sz w:val="21"/>
          <w:szCs w:val="21"/>
          <w:lang w:eastAsia="ru-RU"/>
        </w:rPr>
        <w:br/>
      </w:r>
    </w:p>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Pr>
          <w:rFonts w:ascii="Arial" w:eastAsia="Times New Roman" w:hAnsi="Arial" w:cs="Arial"/>
          <w:noProof/>
          <w:color w:val="2D2D2D"/>
          <w:spacing w:val="2"/>
          <w:sz w:val="21"/>
          <w:szCs w:val="21"/>
          <w:lang w:eastAsia="ru-RU"/>
        </w:rPr>
        <w:drawing>
          <wp:inline distT="0" distB="0" distL="0" distR="0">
            <wp:extent cx="5543550" cy="3000375"/>
            <wp:effectExtent l="19050" t="0" r="0" b="0"/>
            <wp:docPr id="3" name="Рисунок 3" descr="ОБ УТВЕРЖДЕНИИ ПРОГНОЗА НАУЧНО-ТЕХНОЛОГИЧЕСКОГО РАЗВИТИЯ ВОРОНЕЖСКОЙ ОБЛАСТИ ДО 2030 ГОДА (с изменениями на: 05.06.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Б УТВЕРЖДЕНИИ ПРОГНОЗА НАУЧНО-ТЕХНОЛОГИЧЕСКОГО РАЗВИТИЯ ВОРОНЕЖСКОЙ ОБЛАСТИ ДО 2030 ГОДА (с изменениями на: 05.06.2014)"/>
                    <pic:cNvPicPr>
                      <a:picLocks noChangeAspect="1" noChangeArrowheads="1"/>
                    </pic:cNvPicPr>
                  </pic:nvPicPr>
                  <pic:blipFill>
                    <a:blip r:embed="rId7"/>
                    <a:srcRect/>
                    <a:stretch>
                      <a:fillRect/>
                    </a:stretch>
                  </pic:blipFill>
                  <pic:spPr bwMode="auto">
                    <a:xfrm>
                      <a:off x="0" y="0"/>
                      <a:ext cx="5543550" cy="3000375"/>
                    </a:xfrm>
                    <a:prstGeom prst="rect">
                      <a:avLst/>
                    </a:prstGeom>
                    <a:noFill/>
                    <a:ln w="9525">
                      <a:noFill/>
                      <a:miter lim="800000"/>
                      <a:headEnd/>
                      <a:tailEnd/>
                    </a:ln>
                  </pic:spPr>
                </pic:pic>
              </a:graphicData>
            </a:graphic>
          </wp:inline>
        </w:drawing>
      </w:r>
      <w:r w:rsidRPr="00D269F6">
        <w:rPr>
          <w:rFonts w:ascii="Arial" w:eastAsia="Times New Roman" w:hAnsi="Arial" w:cs="Arial"/>
          <w:color w:val="2D2D2D"/>
          <w:spacing w:val="2"/>
          <w:sz w:val="21"/>
          <w:szCs w:val="21"/>
          <w:lang w:eastAsia="ru-RU"/>
        </w:rPr>
        <w:t>Рис.</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Рис. 3. Динамика показателей научно-образовательного и</w:t>
      </w:r>
      <w:r w:rsidRPr="00D269F6">
        <w:rPr>
          <w:rFonts w:ascii="Arial" w:eastAsia="Times New Roman" w:hAnsi="Arial" w:cs="Arial"/>
          <w:color w:val="2D2D2D"/>
          <w:spacing w:val="2"/>
          <w:sz w:val="21"/>
          <w:szCs w:val="21"/>
          <w:lang w:eastAsia="ru-RU"/>
        </w:rPr>
        <w:br/>
        <w:t>ресурсного потенциалов кластера "В2" в период</w:t>
      </w:r>
      <w:r w:rsidRPr="00D269F6">
        <w:rPr>
          <w:rFonts w:ascii="Arial" w:eastAsia="Times New Roman" w:hAnsi="Arial" w:cs="Arial"/>
          <w:color w:val="2D2D2D"/>
          <w:spacing w:val="2"/>
          <w:sz w:val="21"/>
          <w:szCs w:val="21"/>
          <w:lang w:eastAsia="ru-RU"/>
        </w:rPr>
        <w:br/>
        <w:t>2000 - 2010 годов</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Скачкообразно изменялось положение кластера по числу созданных передовых технологий (рост в период благоприятной экономической конъюнктуры и падение до уровня 2000 года в посткризисный период). Менее выражена, но заметна эта тенденция в изменении численности занятых в экономике.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Явно выражено ухудшение положения кластера "В2" по "стоимости основных фондов" вне зависимости от состояния экономической конъюнктуры.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Выделенные нами в качестве ядра научно-образовательного кластера 10 регионов (Татарстан, Башкортостан; области - Воронежская, Ростовская, Самарская, Саратовская, Тюменская, Челябинская, Новосибирская, Омская) входят в кластер при всех использованных нами вариантах кластеризации.</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lastRenderedPageBreak/>
        <w:t>Таблица 7. Динамика показателей экономического развития институциональных подсистем Воронежской области</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7</w:t>
      </w:r>
    </w:p>
    <w:tbl>
      <w:tblPr>
        <w:tblW w:w="0" w:type="auto"/>
        <w:tblCellMar>
          <w:left w:w="0" w:type="dxa"/>
          <w:right w:w="0" w:type="dxa"/>
        </w:tblCellMar>
        <w:tblLook w:val="04A0"/>
      </w:tblPr>
      <w:tblGrid>
        <w:gridCol w:w="2875"/>
        <w:gridCol w:w="1182"/>
        <w:gridCol w:w="1408"/>
        <w:gridCol w:w="1326"/>
        <w:gridCol w:w="1411"/>
        <w:gridCol w:w="1153"/>
      </w:tblGrid>
      <w:tr w:rsidR="00D269F6" w:rsidRPr="00D269F6" w:rsidTr="00D269F6">
        <w:trPr>
          <w:trHeight w:val="15"/>
        </w:trPr>
        <w:tc>
          <w:tcPr>
            <w:tcW w:w="3696"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294"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47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47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Показатели</w:t>
            </w:r>
          </w:p>
        </w:tc>
        <w:tc>
          <w:tcPr>
            <w:tcW w:w="443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Годы</w:t>
            </w:r>
          </w:p>
        </w:tc>
        <w:tc>
          <w:tcPr>
            <w:tcW w:w="314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Темп роста, %</w:t>
            </w:r>
          </w:p>
        </w:tc>
      </w:tr>
      <w:tr w:rsidR="00D269F6" w:rsidRPr="00D269F6" w:rsidTr="00D269F6">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2007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2010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2007/2000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2010/2000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Индекс развития человеческого потенциала (далее - ИРЧП)</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0,746</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0,785</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0,702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105,2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94,1</w:t>
            </w:r>
          </w:p>
        </w:tc>
      </w:tr>
      <w:tr w:rsidR="00D269F6" w:rsidRPr="00D269F6" w:rsidTr="00D269F6">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Валовой региональный продукт (далее - ВРП) (млн. рублей)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49523,9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222811,9</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328770,8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449,9</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663,9</w:t>
            </w:r>
          </w:p>
        </w:tc>
      </w:tr>
      <w:tr w:rsidR="00D269F6" w:rsidRPr="00D269F6" w:rsidTr="00D269F6">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Доходы консолидированного бюджета (млн. рублей)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6323,1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41297,2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71235,3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653,1</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1126,6</w:t>
            </w:r>
          </w:p>
        </w:tc>
      </w:tr>
      <w:tr w:rsidR="00D269F6" w:rsidRPr="00D269F6" w:rsidTr="00D269F6">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Доходы бизнеса (сальдированный финансовый результат) (млн. рублей)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3094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10847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2830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350,6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91,5</w:t>
            </w:r>
          </w:p>
        </w:tc>
      </w:tr>
      <w:tr w:rsidR="00D269F6" w:rsidRPr="00D269F6" w:rsidTr="00D269F6">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Доходы населения (млн. рублей)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43365,64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234167,68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388985,00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539,9</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896,9</w:t>
            </w:r>
          </w:p>
        </w:tc>
      </w:tr>
    </w:tbl>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Воронежская область представляет средний по уровню развития научно-образовательный кластер "В".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Обращает на себя внимание сильная разбалансированность экономического и институционального развития региона. Прежде всего, необходимо отметить снижение интегрального показателя (ИРЧП) в анализируемом периоде на 6%.</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Экономический рост, свойственный Воронежской области, хотя и ниже, чем в регионах, представляющих кластеры "А" и "Б", довольно высок (ВРП вырос в 6,6 раза).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Текущее экономическое положение населения улучшилось: доходы выросли в 9 раз, в том числе за период 2007 - 2010 годов - в 1,7 раза.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Ухудшилось положение бизнеса в регионе - после более чем 3-кратного роста его доходов в 2000 - 2007 годах в период 2007 - 2010 годов они уменьшились в 3,8 раза.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Интенсивным и устойчивым ростом характеризуются доходы консолидированного бюджета: за 2000 - 2007 годы они увеличились в 6,5 раза, в целом за 2000 - 2010 годы - в 11 раз.</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Экономический рост институциональных подсистем регионов группы "В" неравномерен: наибольшая динамика свойственна государству, несколько меньше - у населения, бизнес имеет отрицательную динамику доходов. Экономический рост, выраженный в ВРП, сопровождается ухудшением его институционализации (падение значений ИРЧП).</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В общеобразовательных учреждениях, а также в учреждениях начального и среднего профессионального образования Воронежской области число учащихся стабильно снижается. Напротив, количество студентов вузов, аспирантов и докторантов в области возросло.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Воронежской области сохранилась высокая ориентированность населения на получение высшего образования, о чем свидетельствует динамичный рост количества вузов. Так, на территории области функционируют 22 учебных заведения, реализующих программы высшего профессионального образования, в том числе 17 государственных и муниципальных учреждений и 5 негосударственных вузов. Число государственных вузов увеличилось с 14 в 2005 году до 17 в 2009 году, количество негосударственных - сохранилось на прежнем уровне. По числу высших учебных заведений Воронежская область занимает 3-е место среди 18 регионов в Центральном федеральном округе (после Москвы и Московской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Имеют место существенные расхождения в динамике спроса населения и объема государственного заказа - спрос населения более динамичен. Отчасти растущий спрос удовлетворяется предоставлением услуг негосударственными учебными заведениями.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Как следствие, негосударственные вузы характеризуются еще более динамичным ростом численности студентов.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Численность студентов вузов в расчете на 10 тысяч человек в Воронежской области составляет 612 человек (8 место по РФ и третье по ЦФО). По Центральному федеральному округу выше этот показатель только в столице России (1213 человек) и в Курской области (638 человек). Общероссийский показатель - 523 человека на 10000 населения.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Численность студентов вузов на 10000 человек населения практически в 2 раза выше, чем в начале 2000-х годов (612 и 316 человек соответственно). При этом число обучающихся в государственных вузах на 10000 населения составило 505 человек, что в 1,7 раза больше чем в 2000 году (304 человека). Количество студентов негосударственных вузов на 10000 человек населения увеличилось в 9 раз (с 12 до 107 человек).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Для оценки состояния и динамики инновационных процессов в Воронежской области, как и в случае оценки научно-образовательного комплекса региона, использован метод кластерного анализа. Анализ призван выявить положение Воронежской области по характеру и уровню развития инновационных процессов, определить сходные с ней регионы и характеризующие их черты.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В процессе исследования выделены показатели, представленные в официальной статистике по 78 регионам, имеющим устойчивую статистическую базу, характеризующую их социально-экономическое, в том числе и инновационное развитие.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2. В процессе исследования выделено одиннадцать показателей, позволяющих оценить инновационное развитие с точки зрения используемых ресурсов, а также результатов инновационной деятельности (таблица 8).</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lastRenderedPageBreak/>
        <w:t>Таблица 8. Показатели инновационного развития регионов</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8</w:t>
      </w:r>
    </w:p>
    <w:tbl>
      <w:tblPr>
        <w:tblW w:w="0" w:type="auto"/>
        <w:tblCellMar>
          <w:left w:w="0" w:type="dxa"/>
          <w:right w:w="0" w:type="dxa"/>
        </w:tblCellMar>
        <w:tblLook w:val="04A0"/>
      </w:tblPr>
      <w:tblGrid>
        <w:gridCol w:w="1736"/>
        <w:gridCol w:w="5890"/>
        <w:gridCol w:w="1729"/>
      </w:tblGrid>
      <w:tr w:rsidR="00D269F6" w:rsidRPr="00D269F6" w:rsidTr="00D269F6">
        <w:trPr>
          <w:trHeight w:val="15"/>
        </w:trPr>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683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Номер показателя</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Название показателя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Единицы измерения</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организаций, выполняющих исследования и разработки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Единиц</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Численность персонала, занятого исследованиями и разработками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Человек</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Внутренние затраты на исследования и разработки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Млн. рублей</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Численность исследователей с учеными степенями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Человек</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созданных передовых производственных технологий</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Единиц</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использованных передовых производственных технологий</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Единиц</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Число организаций, осуществляющих инновационную деятельность</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Единиц</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Удельный вес организаций, осуществляющих инновационную деятельность</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Проценты</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Затраты на технологические инновации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Тыс. рублей</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Объем инновационных товаров, работ, услуг</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Млн. рублей</w:t>
            </w:r>
          </w:p>
        </w:tc>
      </w:tr>
      <w:tr w:rsidR="00D269F6" w:rsidRPr="00D269F6" w:rsidTr="00D269F6">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11</w:t>
            </w: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Объем инновационных товаров, работ, услуг</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Проценты</w:t>
            </w:r>
          </w:p>
        </w:tc>
      </w:tr>
    </w:tbl>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Учитывая разную размерность анализируемых показателей, произведено их нормирование по формуле: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Pr>
          <w:rFonts w:ascii="Arial" w:eastAsia="Times New Roman" w:hAnsi="Arial" w:cs="Arial"/>
          <w:noProof/>
          <w:color w:val="2D2D2D"/>
          <w:spacing w:val="2"/>
          <w:sz w:val="21"/>
          <w:szCs w:val="21"/>
          <w:lang w:eastAsia="ru-RU"/>
        </w:rPr>
        <w:drawing>
          <wp:inline distT="0" distB="0" distL="0" distR="0">
            <wp:extent cx="1381125" cy="381000"/>
            <wp:effectExtent l="19050" t="0" r="9525" b="0"/>
            <wp:docPr id="4" name="Рисунок 4" descr="ОБ УТВЕРЖДЕНИИ ПРОГНОЗА НАУЧНО-ТЕХНОЛОГИЧЕСКОГО РАЗВИТИЯ ВОРОНЕЖСКОЙ ОБЛАСТИ ДО 2030 ГОДА (с изменениями на: 05.06.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Б УТВЕРЖДЕНИИ ПРОГНОЗА НАУЧНО-ТЕХНОЛОГИЧЕСКОГО РАЗВИТИЯ ВОРОНЕЖСКОЙ ОБЛАСТИ ДО 2030 ГОДА (с изменениями на: 05.06.2014)"/>
                    <pic:cNvPicPr>
                      <a:picLocks noChangeAspect="1" noChangeArrowheads="1"/>
                    </pic:cNvPicPr>
                  </pic:nvPicPr>
                  <pic:blipFill>
                    <a:blip r:embed="rId8"/>
                    <a:srcRect/>
                    <a:stretch>
                      <a:fillRect/>
                    </a:stretch>
                  </pic:blipFill>
                  <pic:spPr bwMode="auto">
                    <a:xfrm>
                      <a:off x="0" y="0"/>
                      <a:ext cx="1381125" cy="381000"/>
                    </a:xfrm>
                    <a:prstGeom prst="rect">
                      <a:avLst/>
                    </a:prstGeom>
                    <a:noFill/>
                    <a:ln w="9525">
                      <a:noFill/>
                      <a:miter lim="800000"/>
                      <a:headEnd/>
                      <a:tailEnd/>
                    </a:ln>
                  </pic:spPr>
                </pic:pic>
              </a:graphicData>
            </a:graphic>
          </wp:inline>
        </w:drawing>
      </w:r>
      <w:r w:rsidRPr="00D269F6">
        <w:rPr>
          <w:rFonts w:ascii="Arial" w:eastAsia="Times New Roman" w:hAnsi="Arial" w:cs="Arial"/>
          <w:color w:val="2D2D2D"/>
          <w:spacing w:val="2"/>
          <w:sz w:val="21"/>
          <w:szCs w:val="21"/>
          <w:lang w:eastAsia="ru-RU"/>
        </w:rPr>
        <w:t> </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где: </w:t>
      </w:r>
      <w:r w:rsidRPr="00D269F6">
        <w:rPr>
          <w:rFonts w:ascii="Arial" w:eastAsia="Times New Roman" w:hAnsi="Arial" w:cs="Arial"/>
          <w:color w:val="2D2D2D"/>
          <w:spacing w:val="2"/>
          <w:sz w:val="21"/>
          <w:szCs w:val="21"/>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ОБ УТВЕРЖДЕНИИ ПРОГНОЗА НАУЧНО-ТЕХНОЛОГИЧЕСКОГО РАЗВИТИЯ ВОРОНЕЖСКОЙ ОБЛАСТИ ДО 2030 ГОДА (с изменениями на: 05.06.2014)" style="width:25.5pt;height:16.5pt"/>
        </w:pict>
      </w:r>
      <w:r w:rsidRPr="00D269F6">
        <w:rPr>
          <w:rFonts w:ascii="Arial" w:eastAsia="Times New Roman" w:hAnsi="Arial" w:cs="Arial"/>
          <w:color w:val="2D2D2D"/>
          <w:spacing w:val="2"/>
          <w:sz w:val="21"/>
          <w:szCs w:val="21"/>
          <w:lang w:eastAsia="ru-RU"/>
        </w:rPr>
        <w:t> - нормированное значение выбранного показателя, </w:t>
      </w:r>
      <w:r w:rsidRPr="00D269F6">
        <w:rPr>
          <w:rFonts w:ascii="Arial" w:eastAsia="Times New Roman" w:hAnsi="Arial" w:cs="Arial"/>
          <w:color w:val="2D2D2D"/>
          <w:spacing w:val="2"/>
          <w:sz w:val="21"/>
          <w:szCs w:val="21"/>
          <w:lang w:eastAsia="ru-RU"/>
        </w:rPr>
        <w:pict>
          <v:shape id="_x0000_i1026" type="#_x0000_t75" alt="ОБ УТВЕРЖДЕНИИ ПРОГНОЗА НАУЧНО-ТЕХНОЛОГИЧЕСКОГО РАЗВИТИЯ ВОРОНЕЖСКОЙ ОБЛАСТИ ДО 2030 ГОДА (с изменениями на: 05.06.2014)" style="width:10.5pt;height:15.75pt"/>
        </w:pict>
      </w:r>
      <w:r w:rsidRPr="00D269F6">
        <w:rPr>
          <w:rFonts w:ascii="Arial" w:eastAsia="Times New Roman" w:hAnsi="Arial" w:cs="Arial"/>
          <w:color w:val="2D2D2D"/>
          <w:spacing w:val="2"/>
          <w:sz w:val="21"/>
          <w:szCs w:val="21"/>
          <w:lang w:eastAsia="ru-RU"/>
        </w:rPr>
        <w:t> - значение нормируемого показателя, </w:t>
      </w:r>
      <w:r w:rsidRPr="00D269F6">
        <w:rPr>
          <w:rFonts w:ascii="Arial" w:eastAsia="Times New Roman" w:hAnsi="Arial" w:cs="Arial"/>
          <w:color w:val="2D2D2D"/>
          <w:spacing w:val="2"/>
          <w:sz w:val="21"/>
          <w:szCs w:val="21"/>
          <w:lang w:eastAsia="ru-RU"/>
        </w:rPr>
        <w:pict>
          <v:shape id="_x0000_i1027" type="#_x0000_t75" alt="ОБ УТВЕРЖДЕНИИ ПРОГНОЗА НАУЧНО-ТЕХНОЛОГИЧЕСКОГО РАЗВИТИЯ ВОРОНЕЖСКОЙ ОБЛАСТИ ДО 2030 ГОДА (с изменениями на: 05.06.2014)" style="width:18pt;height:15.75pt"/>
        </w:pict>
      </w:r>
      <w:r w:rsidRPr="00D269F6">
        <w:rPr>
          <w:rFonts w:ascii="Arial" w:eastAsia="Times New Roman" w:hAnsi="Arial" w:cs="Arial"/>
          <w:color w:val="2D2D2D"/>
          <w:spacing w:val="2"/>
          <w:sz w:val="21"/>
          <w:szCs w:val="21"/>
          <w:lang w:eastAsia="ru-RU"/>
        </w:rPr>
        <w:t> - минимальное значение соответствующего показателя в выборке, </w:t>
      </w:r>
      <w:r w:rsidRPr="00D269F6">
        <w:rPr>
          <w:rFonts w:ascii="Arial" w:eastAsia="Times New Roman" w:hAnsi="Arial" w:cs="Arial"/>
          <w:color w:val="2D2D2D"/>
          <w:spacing w:val="2"/>
          <w:sz w:val="21"/>
          <w:szCs w:val="21"/>
          <w:lang w:eastAsia="ru-RU"/>
        </w:rPr>
        <w:pict>
          <v:shape id="_x0000_i1028" type="#_x0000_t75" alt="ОБ УТВЕРЖДЕНИИ ПРОГНОЗА НАУЧНО-ТЕХНОЛОГИЧЕСКОГО РАЗВИТИЯ ВОРОНЕЖСКОЙ ОБЛАСТИ ДО 2030 ГОДА (с изменениями на: 05.06.2014)" style="width:20.25pt;height:15.75pt"/>
        </w:pict>
      </w:r>
      <w:r w:rsidRPr="00D269F6">
        <w:rPr>
          <w:rFonts w:ascii="Arial" w:eastAsia="Times New Roman" w:hAnsi="Arial" w:cs="Arial"/>
          <w:color w:val="2D2D2D"/>
          <w:spacing w:val="2"/>
          <w:sz w:val="21"/>
          <w:szCs w:val="21"/>
          <w:lang w:eastAsia="ru-RU"/>
        </w:rPr>
        <w:t> - максимальное значение соответствующего показателя в выборке.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Расчеты произведены по годам, характеризующим переломные точки фаз макроэкономического цикла: 2000 год, 2007 год, 2010 год.</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Для проведения анализа использованы программы MS Excel и Статистика 6.1.</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3. Определение состава регионов в кластерах осуществлялось в евклидовом пространстве, нормирование показателей - по формуле 1. Построенная дендрограмма позволила выделить не менее пяти кластеров.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Кластерный анализ произведен в несколько этапов: из общего информационного массива исключены Москва и другие регионы - лидеры инновационного развития: Республика Татарстан, Пермский край, Московская, Нижегородская, Самарская, Свердловская, Челябинская области, г. Санкт-Петербург.</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Следующий этап - расчленение основной массы регионов на отдельные составляющие. В составе группы, которая на предыдущих этапах выглядела однородной, в 2000 году явно выделились три кластера.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то же время потребовалась корректировка исходного состава показателей. Анализ показал довольно выраженную закономерность - низкий уровень инновационного развития по показателям 7 и 8 лидирующих регионов. Очевидно, проблему представляет то, что он фиксируется по данным выборочных наблюдений и объективность результата может быть различной в зависимости от репрезентативности выборки. В связи с этим данные показатели из выборки и конфигурации кластеров в 2007 году (таблица 9, рис. 4) получили изменения.</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9</w:t>
      </w:r>
    </w:p>
    <w:p w:rsidR="00D269F6" w:rsidRPr="00D269F6" w:rsidRDefault="00D269F6" w:rsidP="00D269F6">
      <w:pPr>
        <w:shd w:val="clear" w:color="auto" w:fill="E9ECF1"/>
        <w:spacing w:after="0" w:line="240" w:lineRule="auto"/>
        <w:textAlignment w:val="baseline"/>
        <w:outlineLvl w:val="4"/>
        <w:rPr>
          <w:rFonts w:ascii="Arial" w:eastAsia="Times New Roman" w:hAnsi="Arial" w:cs="Arial"/>
          <w:color w:val="242424"/>
          <w:spacing w:val="2"/>
          <w:sz w:val="20"/>
          <w:szCs w:val="20"/>
          <w:lang w:eastAsia="ru-RU"/>
        </w:rPr>
      </w:pPr>
      <w:r w:rsidRPr="00D269F6">
        <w:rPr>
          <w:rFonts w:ascii="Arial" w:eastAsia="Times New Roman" w:hAnsi="Arial" w:cs="Arial"/>
          <w:color w:val="242424"/>
          <w:spacing w:val="2"/>
          <w:sz w:val="20"/>
          <w:szCs w:val="20"/>
          <w:lang w:eastAsia="ru-RU"/>
        </w:rPr>
        <w:t>Деление регионов РФ по трем кластерам (2007 год, без регионов-лидеров с исключением показателей 7 и 8)</w:t>
      </w:r>
    </w:p>
    <w:tbl>
      <w:tblPr>
        <w:tblW w:w="0" w:type="auto"/>
        <w:tblCellMar>
          <w:left w:w="0" w:type="dxa"/>
          <w:right w:w="0" w:type="dxa"/>
        </w:tblCellMar>
        <w:tblLook w:val="04A0"/>
      </w:tblPr>
      <w:tblGrid>
        <w:gridCol w:w="2067"/>
        <w:gridCol w:w="2178"/>
        <w:gridCol w:w="2173"/>
        <w:gridCol w:w="2937"/>
      </w:tblGrid>
      <w:tr w:rsidR="00D269F6" w:rsidRPr="00D269F6" w:rsidTr="00D269F6">
        <w:trPr>
          <w:trHeight w:val="15"/>
        </w:trPr>
        <w:tc>
          <w:tcPr>
            <w:tcW w:w="221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2402"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2402"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3326"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Средние по параметрам</w:t>
            </w:r>
          </w:p>
        </w:tc>
        <w:tc>
          <w:tcPr>
            <w:tcW w:w="8131"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Кластеры</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3</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0,176482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0,197531</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0,571759</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0,084372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0,097296</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0,443871</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0,083844</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0,100848</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0,450100</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0,051781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0,030922</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0,260385</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0,070000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0,280303</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0,545455</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0,124901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0,187100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0,318325</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0,134288</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0,286363</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0,517410</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0,102804</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0,736491</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0,313770</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0,071129</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0,375896</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0,093190</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Регионы</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50 регионов</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1, 22, 23, 42, 53, 65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3, 4, 6, 17, 35, 38, 39, 40, 52, 63, 66, 68</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Сумма</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0,899601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2,292750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3,514265</w:t>
            </w:r>
          </w:p>
        </w:tc>
      </w:tr>
    </w:tbl>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Pr>
          <w:rFonts w:ascii="Arial" w:eastAsia="Times New Roman" w:hAnsi="Arial" w:cs="Arial"/>
          <w:noProof/>
          <w:color w:val="2D2D2D"/>
          <w:spacing w:val="2"/>
          <w:sz w:val="21"/>
          <w:szCs w:val="21"/>
          <w:lang w:eastAsia="ru-RU"/>
        </w:rPr>
        <w:drawing>
          <wp:inline distT="0" distB="0" distL="0" distR="0">
            <wp:extent cx="5543550" cy="2314575"/>
            <wp:effectExtent l="19050" t="0" r="0" b="0"/>
            <wp:docPr id="9" name="Рисунок 9" descr="ОБ УТВЕРЖДЕНИИ ПРОГНОЗА НАУЧНО-ТЕХНОЛОГИЧЕСКОГО РАЗВИТИЯ ВОРОНЕЖСКОЙ ОБЛАСТИ ДО 2030 ГОДА (с изменениями на: 05.06.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Б УТВЕРЖДЕНИИ ПРОГНОЗА НАУЧНО-ТЕХНОЛОГИЧЕСКОГО РАЗВИТИЯ ВОРОНЕЖСКОЙ ОБЛАСТИ ДО 2030 ГОДА (с изменениями на: 05.06.2014)"/>
                    <pic:cNvPicPr>
                      <a:picLocks noChangeAspect="1" noChangeArrowheads="1"/>
                    </pic:cNvPicPr>
                  </pic:nvPicPr>
                  <pic:blipFill>
                    <a:blip r:embed="rId9"/>
                    <a:srcRect/>
                    <a:stretch>
                      <a:fillRect/>
                    </a:stretch>
                  </pic:blipFill>
                  <pic:spPr bwMode="auto">
                    <a:xfrm>
                      <a:off x="0" y="0"/>
                      <a:ext cx="5543550" cy="2314575"/>
                    </a:xfrm>
                    <a:prstGeom prst="rect">
                      <a:avLst/>
                    </a:prstGeom>
                    <a:noFill/>
                    <a:ln w="9525">
                      <a:noFill/>
                      <a:miter lim="800000"/>
                      <a:headEnd/>
                      <a:tailEnd/>
                    </a:ln>
                  </pic:spPr>
                </pic:pic>
              </a:graphicData>
            </a:graphic>
          </wp:inline>
        </w:drawing>
      </w:r>
    </w:p>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Рис. 4. Состояние кластеров инновационного развития по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средним значениям нормированных показателей (2007 год, без</w:t>
      </w:r>
      <w:r w:rsidRPr="00D269F6">
        <w:rPr>
          <w:rFonts w:ascii="Arial" w:eastAsia="Times New Roman" w:hAnsi="Arial" w:cs="Arial"/>
          <w:color w:val="2D2D2D"/>
          <w:spacing w:val="2"/>
          <w:sz w:val="21"/>
          <w:szCs w:val="21"/>
          <w:lang w:eastAsia="ru-RU"/>
        </w:rPr>
        <w:br/>
        <w:t>регионов-лидеров, без показателей 7 и 8)</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Анализ данных, представленных в таблице 9 и на рис. 4, позволяет выделить следующие характеристики кластера 3, сложившиеся в 2007 году (пик фазы подъема): Республика Башкортостан, Краснодарский, Красноярский края, Владимирская, Воронежская, Калужская, Ярославская, Волгоградская, Ростовская, Саратовская, Новосибирская, Томская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целом кластер 3 характеризуется следующим образом: высокий уровень развития по показателям 1, 2, 3, 4, 5, 6, 9; относительно низкий уровень производства инновационных товаров, работ, услуг (показатели 10, 11). Иначе говоря, кластер отличает относительно высокий потенциал инновационного развития, активность в продуцировании и использовании передовых производственных технологий (показатели 5, 6, 9), но низкий уровень производства инновационной продукции (показатели 10, 11). Кластер можно охарактеризовать как "активный разработчик".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период экономического кризиса произошли некоторые изменения в конфигурации кластеров (таблица 10, рис. 5).</w:t>
      </w:r>
    </w:p>
    <w:p w:rsidR="00D269F6" w:rsidRPr="00D269F6" w:rsidRDefault="00D269F6" w:rsidP="00D269F6">
      <w:pPr>
        <w:shd w:val="clear" w:color="auto" w:fill="E9ECF1"/>
        <w:spacing w:after="0" w:line="240" w:lineRule="auto"/>
        <w:textAlignment w:val="baseline"/>
        <w:outlineLvl w:val="4"/>
        <w:rPr>
          <w:rFonts w:ascii="Arial" w:eastAsia="Times New Roman" w:hAnsi="Arial" w:cs="Arial"/>
          <w:color w:val="242424"/>
          <w:spacing w:val="2"/>
          <w:sz w:val="20"/>
          <w:szCs w:val="20"/>
          <w:lang w:eastAsia="ru-RU"/>
        </w:rPr>
      </w:pPr>
      <w:r w:rsidRPr="00D269F6">
        <w:rPr>
          <w:rFonts w:ascii="Arial" w:eastAsia="Times New Roman" w:hAnsi="Arial" w:cs="Arial"/>
          <w:color w:val="242424"/>
          <w:spacing w:val="2"/>
          <w:sz w:val="20"/>
          <w:szCs w:val="20"/>
          <w:lang w:eastAsia="ru-RU"/>
        </w:rPr>
        <w:t>Таблица 10. Деление регионов РФ по трем кластерам (2010 год)</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10</w:t>
      </w:r>
    </w:p>
    <w:tbl>
      <w:tblPr>
        <w:tblW w:w="0" w:type="auto"/>
        <w:tblCellMar>
          <w:left w:w="0" w:type="dxa"/>
          <w:right w:w="0" w:type="dxa"/>
        </w:tblCellMar>
        <w:tblLook w:val="04A0"/>
      </w:tblPr>
      <w:tblGrid>
        <w:gridCol w:w="2067"/>
        <w:gridCol w:w="2173"/>
        <w:gridCol w:w="2173"/>
        <w:gridCol w:w="2942"/>
      </w:tblGrid>
      <w:tr w:rsidR="00D269F6" w:rsidRPr="00D269F6" w:rsidTr="00D269F6">
        <w:trPr>
          <w:trHeight w:val="15"/>
        </w:trPr>
        <w:tc>
          <w:tcPr>
            <w:tcW w:w="221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2402"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2402"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3326"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Средние по параметрам</w:t>
            </w:r>
          </w:p>
        </w:tc>
        <w:tc>
          <w:tcPr>
            <w:tcW w:w="8131"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Кластеры</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Кластер 3</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0,531553</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0,231392</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0,154944</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0,428944</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0,196932</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0,062836</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0,419063</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0,205530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0,064653</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0,250616</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0,084647</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0,044152</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0,433333</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0,113333</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0,071837</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0,439321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0,264841</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0,128401</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0,394626</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0,257073</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0,100163</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0,211978</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0,442553</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0,053203</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0,168111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0,610052</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0,133502</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Регионы</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4, 6, 16, 35, 39, 40, 52, 63, 64, 66, 67, 68</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15, 17, 36, 38, 42, 53</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49 регионов</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Сумма</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3,277546</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2,406353</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0,813690</w:t>
            </w:r>
          </w:p>
        </w:tc>
      </w:tr>
    </w:tbl>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Pr>
          <w:rFonts w:ascii="Arial" w:eastAsia="Times New Roman" w:hAnsi="Arial" w:cs="Arial"/>
          <w:noProof/>
          <w:color w:val="2D2D2D"/>
          <w:spacing w:val="2"/>
          <w:sz w:val="21"/>
          <w:szCs w:val="21"/>
          <w:lang w:eastAsia="ru-RU"/>
        </w:rPr>
        <w:drawing>
          <wp:inline distT="0" distB="0" distL="0" distR="0">
            <wp:extent cx="5543550" cy="2305050"/>
            <wp:effectExtent l="19050" t="0" r="0" b="0"/>
            <wp:docPr id="10" name="Рисунок 10" descr="ОБ УТВЕРЖДЕНИИ ПРОГНОЗА НАУЧНО-ТЕХНОЛОГИЧЕСКОГО РАЗВИТИЯ ВОРОНЕЖСКОЙ ОБЛАСТИ ДО 2030 ГОДА (с изменениями на: 05.06.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ОБ УТВЕРЖДЕНИИ ПРОГНОЗА НАУЧНО-ТЕХНОЛОГИЧЕСКОГО РАЗВИТИЯ ВОРОНЕЖСКОЙ ОБЛАСТИ ДО 2030 ГОДА (с изменениями на: 05.06.2014)"/>
                    <pic:cNvPicPr>
                      <a:picLocks noChangeAspect="1" noChangeArrowheads="1"/>
                    </pic:cNvPicPr>
                  </pic:nvPicPr>
                  <pic:blipFill>
                    <a:blip r:embed="rId10"/>
                    <a:srcRect/>
                    <a:stretch>
                      <a:fillRect/>
                    </a:stretch>
                  </pic:blipFill>
                  <pic:spPr bwMode="auto">
                    <a:xfrm>
                      <a:off x="0" y="0"/>
                      <a:ext cx="5543550" cy="2305050"/>
                    </a:xfrm>
                    <a:prstGeom prst="rect">
                      <a:avLst/>
                    </a:prstGeom>
                    <a:noFill/>
                    <a:ln w="9525">
                      <a:noFill/>
                      <a:miter lim="800000"/>
                      <a:headEnd/>
                      <a:tailEnd/>
                    </a:ln>
                  </pic:spPr>
                </pic:pic>
              </a:graphicData>
            </a:graphic>
          </wp:inline>
        </w:drawing>
      </w:r>
    </w:p>
    <w:p w:rsidR="00D269F6" w:rsidRPr="00D269F6" w:rsidRDefault="00D269F6" w:rsidP="00D269F6">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lastRenderedPageBreak/>
        <w:br/>
      </w:r>
      <w:r w:rsidRPr="00D269F6">
        <w:rPr>
          <w:rFonts w:ascii="Arial" w:eastAsia="Times New Roman" w:hAnsi="Arial" w:cs="Arial"/>
          <w:color w:val="2D2D2D"/>
          <w:spacing w:val="2"/>
          <w:sz w:val="21"/>
          <w:szCs w:val="21"/>
          <w:lang w:eastAsia="ru-RU"/>
        </w:rPr>
        <w:br/>
        <w:t>Рис. 5. Состояние кластеров инновационного развития по</w:t>
      </w:r>
      <w:r w:rsidRPr="00D269F6">
        <w:rPr>
          <w:rFonts w:ascii="Arial" w:eastAsia="Times New Roman" w:hAnsi="Arial" w:cs="Arial"/>
          <w:color w:val="2D2D2D"/>
          <w:spacing w:val="2"/>
          <w:sz w:val="21"/>
          <w:szCs w:val="21"/>
          <w:lang w:eastAsia="ru-RU"/>
        </w:rPr>
        <w:br/>
        <w:t>средним значениям нормированных показателей (2010 год, без</w:t>
      </w:r>
      <w:r w:rsidRPr="00D269F6">
        <w:rPr>
          <w:rFonts w:ascii="Arial" w:eastAsia="Times New Roman" w:hAnsi="Arial" w:cs="Arial"/>
          <w:color w:val="2D2D2D"/>
          <w:spacing w:val="2"/>
          <w:sz w:val="21"/>
          <w:szCs w:val="21"/>
          <w:lang w:eastAsia="ru-RU"/>
        </w:rPr>
        <w:br/>
        <w:t>регионов-лидеров, без показателей 7 и 8)</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Анализ показывает, что регионы, входившие в период высокой экономической конъюнктуры в состав кластера, идентифицированного в качестве "активного разработчика", преимущественно сохранили положение. Выбыли из состава кластера Владимирская, Волгоградская и Ярославская области, вошли в его состав Иркутская, Омская и Тульская области. Воронежская область занимает в нем прочное положение.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Таким образом, результаты поэтапного кластерного анализа показали, что российские регионы можно разделить на пять отличающихся друг от друга групп, сохраняющих устойчивость при изменении экономической конъюнктуры.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первую группу входит только г. Москва, отличающаяся значительным развитием по большинству показателей инновационного развития. Кризис ослабил положение столицы как инновационного центра страны. Данную ситуацию следует считать закономерной и оправданной в стратегическом плане, поскольку инновационное развитие необходимо распространять на всю территорию страны.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Вторую группу составляют развитые промышленные регионы: Республика Татарстан, Пермский край, Московская, Нижегородская, Самарская, Свердловская, Челябинская области, г. Санкт-Петербург. Они оказались устойчивыми к кризисным проявлениям и сохранили свои позиции, что свидетельствует о рациональности проводимой в них инновационной политики.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Третья группа включает регионы с относительно высоким уровнем генерирования инноваций ("активные разработчики"). Это - Республика Башкортостан, Краснодарский, Красноярский края, Владимирская, Воронежская, Калужская, Ярославская, Волгоградская, Ростовская, Саратовская, Новосибирская, Томская области. В 2010 году выбыли из состава кластера Владимирская, Волгоградская и Ярославская области и вошли в его состав Иркутская, Омская и Тульская области. Группа оказалась весьма устойчивой к кризисным проявлениям. Слабой стороной области этой группы в период кризиса и высокой экономической конъюнктуры является производство инновационной продукции. Возможны альтернативные пути развития регионов: внедрение новых разработок и расширение спектра исследований.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Четвертая группа отличается низким уровнем генерирования инноваций, относительно высокой долей инновационной продукции и достаточно развитой промышленностью. Состав группы подвержен влиянию экономической конъюнктуры. Это вполне объяснимо с позиций изменения структуры спроса при переходе от высокой экономической активности к кризису. Регионам данной группы вряд ли есть смысл наращивать объем генерирования инноваций. Полагаем, что ускоренное распространение существующих инноваций, созданных в других регионах страны и за рубежом, является единственно возможной стратегией инновационного развития этих регионов.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Пятая группа - наиболее значительная по числу регионов, имеет низкий и слабо используемый потенциал инновационного развития. Причем и состав группы, и показатели ее развития не подвержены сильным изменениям при изменении экономической конъюнктуры. Рекомендуемая стратегия - формирование инновационных точек роста с целью совершенствования институциональной среды.</w:t>
      </w:r>
    </w:p>
    <w:p w:rsidR="00D269F6" w:rsidRPr="00D269F6" w:rsidRDefault="00D269F6" w:rsidP="00D269F6">
      <w:pPr>
        <w:shd w:val="clear" w:color="auto" w:fill="E9ECF1"/>
        <w:spacing w:after="0" w:line="240" w:lineRule="auto"/>
        <w:textAlignment w:val="baseline"/>
        <w:outlineLvl w:val="4"/>
        <w:rPr>
          <w:rFonts w:ascii="Arial" w:eastAsia="Times New Roman" w:hAnsi="Arial" w:cs="Arial"/>
          <w:color w:val="242424"/>
          <w:spacing w:val="2"/>
          <w:sz w:val="20"/>
          <w:szCs w:val="20"/>
          <w:lang w:eastAsia="ru-RU"/>
        </w:rPr>
      </w:pPr>
      <w:r w:rsidRPr="00D269F6">
        <w:rPr>
          <w:rFonts w:ascii="Arial" w:eastAsia="Times New Roman" w:hAnsi="Arial" w:cs="Arial"/>
          <w:color w:val="242424"/>
          <w:spacing w:val="2"/>
          <w:sz w:val="20"/>
          <w:szCs w:val="20"/>
          <w:lang w:eastAsia="ru-RU"/>
        </w:rPr>
        <w:t>4. Направления и ожидаемые результаты научно-технологического развития Воронежской области</w:t>
      </w:r>
    </w:p>
    <w:p w:rsidR="00D269F6" w:rsidRPr="00D269F6" w:rsidRDefault="00D269F6" w:rsidP="00D269F6">
      <w:pPr>
        <w:shd w:val="clear" w:color="auto" w:fill="E9ECF1"/>
        <w:spacing w:after="0" w:line="240" w:lineRule="auto"/>
        <w:textAlignment w:val="baseline"/>
        <w:outlineLvl w:val="4"/>
        <w:rPr>
          <w:rFonts w:ascii="Arial" w:eastAsia="Times New Roman" w:hAnsi="Arial" w:cs="Arial"/>
          <w:color w:val="242424"/>
          <w:spacing w:val="2"/>
          <w:sz w:val="20"/>
          <w:szCs w:val="20"/>
          <w:lang w:eastAsia="ru-RU"/>
        </w:rPr>
      </w:pPr>
      <w:r w:rsidRPr="00D269F6">
        <w:rPr>
          <w:rFonts w:ascii="Arial" w:eastAsia="Times New Roman" w:hAnsi="Arial" w:cs="Arial"/>
          <w:color w:val="242424"/>
          <w:spacing w:val="2"/>
          <w:sz w:val="20"/>
          <w:szCs w:val="20"/>
          <w:lang w:eastAsia="ru-RU"/>
        </w:rPr>
        <w:t>4.1. Направления научно-технологического развития отраслей народного хозяйства</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Состав рассматриваемых отраслей сформирован согласно приоритетным направлениям научно-технологического развития региона, определенным экспертным советом по разработке прогноза научно-технологического развития Воронежской области до 2030 года в соответствии с </w:t>
      </w:r>
      <w:hyperlink r:id="rId11" w:history="1">
        <w:r w:rsidRPr="00D269F6">
          <w:rPr>
            <w:rFonts w:ascii="Arial" w:eastAsia="Times New Roman" w:hAnsi="Arial" w:cs="Arial"/>
            <w:color w:val="00466E"/>
            <w:spacing w:val="2"/>
            <w:sz w:val="21"/>
            <w:u w:val="single"/>
            <w:lang w:eastAsia="ru-RU"/>
          </w:rPr>
          <w:t>постановлением правительства Воронежской области от 04.04.2013 N 292</w:t>
        </w:r>
      </w:hyperlink>
      <w:r w:rsidRPr="00D269F6">
        <w:rPr>
          <w:rFonts w:ascii="Arial" w:eastAsia="Times New Roman" w:hAnsi="Arial" w:cs="Arial"/>
          <w:color w:val="2D2D2D"/>
          <w:spacing w:val="2"/>
          <w:sz w:val="21"/>
          <w:szCs w:val="21"/>
          <w:lang w:eastAsia="ru-RU"/>
        </w:rPr>
        <w:t>.</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4.1.1. Машиностроение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Развитие технологий в машиностроении будет осуществляться по направлениям: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совершенствование традиционных технологий, основанных на применении традиционных материалов при внедрении нового оборудования и/или инструмента, нацеленное на повышение производительности и рост конкурентоспособности продукции предприятий;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внедрение новых перспективных (прорывных) технологий, основанных на применении новых материалов и оборудования, обеспечивающих многократную интенсификацию производства и значительный рост в сфере производительности и/или качества, а также рост коэффициента использования материалов.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Развитие традиционных технологий на машиностроительных предприятиях региона будет осуществляться по следующим направлениям: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сфере проектирования новой техники - применение современных СЛБ-систем "сквозного" проектирования изделий, обеспечивающих переход к новому "цифровому" производству в машиностроении;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сфере раскроя заготовок из металлопроката (листа, профиля, прутка, трубы) - применение установок лазерной и плазменной резки с числовым программным устройством (далее - ЧПУ), раскройных фрезерных станков с ЧПУ, в том числе для пакетного фрезерования, применение автоматического листоправильного и листозачистного оборудования, что позволит повысить КИМ и скорость производства, уменьшить объем слесарных операций и избавиться от ручных разметочных операций;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сфере литья - использование высокоточных методов (литье под давлением, литье в постоянные металлические формы - кокили, литье в корковые оболочковые формы, центробежное литье), рост автоматизации и механизации процессов литья;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сфере объемной кузнечной обработки - применение прессов с ЧПУ, снижение удельного веса процессов свободной ковки и штамповки на молотах;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 в сфере формообразования и обработки деталей из металлопроката - применение координатно-револьверных прессов, листогибочных прессов и трубогибочных станков с ЧПУ, фрезерных обрабатывающих центров, токарно-давильных, раскатных станков с ЧПУ, постепенный отказ от использования штамповой оснастки;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сфере механообработки объемных деталей - применение гибких производственных модулей и систем на основе использования точных многокоординатных обрабатывающих центров, применение быстрорежущего сборного инструмента;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сфере прочих методов обработки - применение технологий поверхностного упрочнения материалов (термо-, виброупрочнение, нанесение покрытий, ультразвуковые методы обработки);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сфере контроля деталей - применение многокоординатных координатно-измерительных машин на основе лазерных или оптических технологий, выполнение автоматического контроля на обрабатывающих центрах без снятия изделий со станка;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сфере покраски - рост уровня автоматизации за счет применения современных автоматизированных окрасочных камер.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качестве новых прорывных технологий машиностроения будут внедряться: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изготовления оснастки из полимерных композиционных материалов для формообразования деталей, изготавливаемых методом вакуум-автоклавного формования;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стереолитографии и лазерного спекания металлических и полимерных порошков, используемые для быстрого (в один переход) изготовления готовых деталей сложной формы с требуемыми параметрами качества, а также прототипов, используемых в конструкторском проектировании новых изделий;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стереолитографии и лазерного спекания, используемые при изготовлении мастер-моделей для точного модельного литья.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4.1.2. Оборонно-промышленный комплекс</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Научно-технологическое развитие оборонно-промышленного комплекса Воронежской области связано с разработкой: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электроракетного двигателя для межорбитальных буксиров и межпланетных полетов;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энергоустановок с использованием водородных технологий;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жидкостных ракетных двигателей (далее - ЖРД) для перспективных ракетоносителей тяжелого и сверхтяжелого классов;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 ЖРД для многоразового космического комплекса, в том числе на компонентах топлива "кислород-метан";</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изготовления рабочего колеса газовой турбины турбонасосного агрегата, стойкого к возгоранию при работе в окислительном газе, в том числе с применением наноструктурированных многофункциональных покрытий;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будущего поколения средств и систем радиосвязи - когнитивного ("умного") радио. Его основным отличительным качеством будет способность к наблюдению за радиоэлектронной обстановкой, ее анализу и автоматическому управлению параметрами радиосвязи (рабочие частоты, виды сигналов, режимы передачи и т.д.) адаптивно к радиоэлектронной обстановке;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электронной компонентной базы, в том числе с применением технологий 3D-корпусирования, ориентированной на применение в профессиональной радиоэлектронной аппаратуре (энергетическое оборудование, телекоммуникационное оборудование, медицинская электроника, промышленная электроника, системы безопасности, автомобильная электроника) и специальной радиоэлектронной аппаратуре (для современных систем вооружения, атомной промышленности, космической отрасли);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конкурентоспособного электротехнического оборудования нового поколения для изделий и комплексов вооружения и военной техники и космических аппаратов с повышенными в 5 - 10 раз функциональными и ресурсными возможностями при ранее недостижимых быстродействии, точности и динамических критериях на основе отечественной электромеханики, цифровых технологий механотроники (в т.ч. следящих электроприводов и агрегатов на их основе; высокоресурсных шаговых микроприводов; серводвигателей прямого линейного перемещения; интегрированных бесколлекторных двигателей постоянного тока с длительным рабочим режимом в условиях глубокого вакуума, многофункциональных электроприводов с широкоформатным микропроцессорным управлением).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4.1.3. Информационные технологии и связь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Научно-технологическое развитие экономики Воронежской области в сфере информационных технологий и связи будет осуществляться по следующим основным направлениям: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"Облачные вычисления".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Концепция "облачных вычислений" предлагает пользователям совершенно новые возможности: ограниченные в ресурсах ИТ-компании могут позволить себе пользоваться бизнес-приложениями и почтовыми серверами, обладая при этом только доступом к Интернету. Cloud Computing позволит свести затраты на модернизацию и поддержку сложной ИТ-инфраструктуры к обычной оплате "подписки" на услугу.</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2) "Большие данные".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В "большие данные" входят: сбор, хранение, обработка и анализ очень больших объемов данных из различных источников, для работы с которыми недостаточно возможностей традиционных систем баз данных.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Методы и техники анализа, применимые к большим объемам данных: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методы класса Data Mining: обучение ассоциативным правилам (англ. association rule learning), классификация (методы категоризации новых данных на основе принципов, ранее примененных к уже имеющимся данным), кластерный анализ, регрессионный анализ;</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краудсорсинг - категоризация и обогащение данных силами широкого, неопределенного круга лиц, привлеченных на основании публичной оферты, без вступления в трудовые отношения;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смешение и интеграция данных - набор техник, позволяющих интегрировать разнородные данные из разнообразных источников для возможности глубинного анализа.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качестве примеров таких техник, составляющих этот класс методов, приводятся: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цифровая обработка сигналов и обработка естественного языка; машинное обучение, включая обучение с учителем и без учителя, а также использование моделей, построенных на базе статистического анализа или машинного обучения для получения комплексных прогнозов на основе базовых статистических данных;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искусственные нейронные сети, сетевой анализ, оптимизация, в том числе генетические алгоритмы;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распознавание образов;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прогнозная аналитика;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имитационное моделирование;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пространственный анализ (англ. Spatial analysis) - класс методов, использующих топологическую, геометрическую и географическую информацию в данных;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статистический анализ;</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визуализация аналитических данных - представление информации в виде рисунков, диаграмм, с использованием интерактивных возможностей и анимации как для получения результатов, так и для использования в качестве исходных данных для дальнейшего анализа.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3) "Интернет вещей".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Существующая и создаваемая телекоммуникационная инфраструктура будет применяться для развертывания вычислительных сетей физических объектов ("вещей"), оснащенных встроенными технологиями для взаимодействия друг с другом или с внешней средой (включая объединение в сети средств измерения, средств идентификации, построение систем межмашинного взаимодействия). Организация таких сетей перестроит экономические и общественные процессы, исключив из части действий и операций необходимость участия человека.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 "Цифровое производство".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Цифровое производство - это концепция технологической подготовки производства в единой виртуальной среде с помощью инструментов планирования, проверки и моделирования производственных процессов. Включает в себя: новые бизнес-процессы технологических служб предприятия (а в ряде случаев и технических служб); программное обеспечение, позволяющее реализовать новые бизнес-процессы.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5) "Электронная мобильность".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Ускоренному развитию подвергнутся программные технологии: организации и систематизации контента; доставки и отслеживания контента; искусственного интеллекта; параллельной и распределенной обработки данных; ведения регламентированных процессов в Интернете; организации совместной работы (collaboration) и виртуальных сообществ (community); моделирования и прикладные приложения информационных технологий; семантические и ассоциативно-адаптивные; когнитивные; основывающиеся на новых физических методах; интерфейсов "человек-объект искусственного интеллекта", включая системы распознавания и реакции; сервисные информационные технологии, базирующиеся на высокопроизводительных системах с элементами искусственного интеллекта, действующие во всех сферах деятельности человека; роботов и нанороботов, био- и квантовые вычислительные системы.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6) "Кибербезопасность".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Кибербезопасность - это набор средств, стратегии, принципы обеспечения безопасности, гарантии безопасности, руководящие принципы, подходы к управлению рисками, действия, профессиональная подготовка, практический опыт, страхование и технологии, которые могут быть использованы для защиты киберсреды, ресурсов организации и пользователя. Ресурсы организации и пользователя включают подсоединенные компьютерные устройства, персонал, инфраструктуру, приложения, услуги, системы электросвязи и всю совокупность переданной и/или сохраненной информации в киберсреде. Кибербезопасность состоит в попытке достижения и сохранения свойств безопасности у ресурсов организации или пользователя, направленных против соответствующих угроз безопасности в киберсреде. Общие задачи обеспечения безопасности включают следующее: доступность; целостность, которая может включать аутентичность и неотказуемость; конфиденциальность.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7) "Конвергенция".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Внедрение стандарта универсальной платформы электронных коммуникаций для передачи мультимедийного 3D-контента и приложений виртуальной реальности, объединяющей возможности спутниковых, эфирных и оптоволоконных информационно-коммуникационных технологий, после приобретет новое качество за счет конвергентных NBIC - конвергенции (NBIC = Nano + Bio + Info + Cognitive). Проникновение сетей когнитивного радио и беспроводного ШПД с СПД более 1 Гбит/с может быть почти полным в городах и вдоль главных транспортных магистралей в густонаселенных регионах, приблизившись в этом отношении к нынешним сетям GSM.</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4.1.4. Химия и нефтехимия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Научно-технологическое развитие химии и нефтехимии связывается с использованием: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технологий современных каучуков с улучшенным комплексом характеристик для применения в шинной и военной промышленностях, производстве резинотехнических изделий (РТИ);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производства термоэластопластов и каучуков растворной полимеризации;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безводной дегазации в производство каучуков растворной полимеризации;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технологий производства новых антираковых препаратов;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модернизации наноструктурных каталитических систем;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высокотемпературной очистки газов;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обеспечивающей интенсификацию гидродинамических, тепло- и массообменных процессов;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технологий производства органических соединений, высокомолекулярных соединений на основе биоресурсов, экологической биотехнологии и производства наполненных полимеров и резинотехнических изделий.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4.1.5. АПК и пищевая промышленность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Научно-технологическое развитие растениеводства связано с внедрением ресурсосберегающих технологий: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Mini-till (минимальная обработка почвы).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Обеспечивает снижение энергетических и финансовых затрат путем уменьшения числа и приемов в одном рабочем процессе, используя комбинированную широкозахватную технику;</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No-till (нулевая технология).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Не предусматривает механической обработки почвы. Так называемый "прямой высев" проводят специальными стерневыми сеялками в необработанную почву, а для борьбы с сорняками, болезнями и вредителями используют пестициды. К эффектам ее применения следует отнести: уменьшение затрат труда в 2,5 раза и финансовых ресурсов в 2 раза благодаря отказу от многих операций по обработке почвы; обеспечение стабильности урожая, особенно в сухие годы и в зонах с недостаточным увлажнением, поскольку обеспечивается большее накопление и сохранение влаги и питательных веществ в почве; улучшение экологии; повышение плодородия почвы;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Strip-till (полосное вспахивание).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Система полосной обработки почвы с внесением сухих или жидких удобрений на 15-20 см и посева пропашных культур (соя, кукуруза, подсолнечник, сахарная свекла) в эти полосы. Эта технология позволяет вносить удобрения полосами непосредственно в место развития корневой системы. Междурядье не обрабатывается, оно покрыто мульчей из растительных остатков;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ГИС-технологии.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Геоинформационная система (ГИС) представляет собой систему компьютерного программного обеспечения, которая служит универсальным инструментом сбора, хранения, обработки, анализа и представления информации в различной форме (преимущественно в виде карт, таблиц и графиков).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Внедрение ГИС-технологий предусматривает использование технологий глобального позиционирования, дистанционного зондирования, картирования урожайности, переменного нормирования внесения химикатов и др. Использование ГИС требует больших вложений в покупку программного обеспечения, оборудования, цифровых карт, обучения кадров и реорганизацию всех этапов производства и управления. Такие технологии позволяют учитывать неоднородность участков каждого поля по рельефу, почвенному покрову, агрохимическому содержанию и подразумевают применение на каждом участке поля разных агротехнологий. Применяя их, можно дифференцированно использовать различные средства производства (семена, удобрения, пестициды, орошение) в зависимости от складывающихся условий поля и отдельного участка. Это позволяет оптимизировать производственные издержки и снизить негативное воздействие на окружающую среду.</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Научно-технологическое развитие животноводства связано с внедрением следующих технологий: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прогрессивных и инновационных технологий производства говядины в молочном и мясном скотоводстве: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агротехнологий, обеспечивающих производство бобовых культур и бобово-злаковых смесей в количестве 30 - 40% от общего производства вегетативных кормов;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 технологий, обеспечивающих производство и заготовку объемистых кормов с содержанием </w:t>
      </w:r>
      <w:r w:rsidRPr="00D269F6">
        <w:rPr>
          <w:rFonts w:ascii="Arial" w:eastAsia="Times New Roman" w:hAnsi="Arial" w:cs="Arial"/>
          <w:color w:val="2D2D2D"/>
          <w:spacing w:val="2"/>
          <w:sz w:val="21"/>
          <w:szCs w:val="21"/>
          <w:lang w:eastAsia="ru-RU"/>
        </w:rPr>
        <w:lastRenderedPageBreak/>
        <w:t>в 1 кг сухого вещества 0,85 - 1,0 энергетических кормовых единиц (далее - ЭКЕ);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производства силоса из целых растений кукурузы в фазе восковой спелости зерна с использованием биологических консервантов;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нормированного (по ЭКЕ) и детализированного (по комплексу питательных веществ) кормления в зависимости от половозрастных и производственных групп скота и уровня их продуктивности;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выращивания, доращивания и откорма молодняка на промышленной основе с комплексной автоматизацией, компьютеризацией всех технологических операций;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2) прогрессивных и инновационных технологий производства свинины: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кормопроизводстве - выращивание зернобобовых культур по интенсивным технологиям;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кормоприготовлении - производство полнорационных комбикормов, заменителей цельного молока, престартеров, стартеров, белковых минерально-витаминных добавок, премиксов и композиционных добавок;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кормоиспользовании - самокормление с полнорационными комбикормами со свободным доступом к кормушкам;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кормлении - использование детализированных норм кормления в соответствии с физиологическим состоянием и продуктивностью животных;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содержании - трехфазная технология с мелкогрупповым содержанием на щелевых полах; ранний отъем поросят; автоматизация технологических процессов;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селекционно-племенной работе - совершенствование отечественных мясных пород, межпородная и межлинейная гибридизация; создание селекционных центров;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организации производства - внедрение мини-ферм для личных подсобных хозяйств (5 - 10 свиноматок), модулей для К(Ф)Х (100 - 200 свиноматок) и комплексов для сельскохозяйственных организаций (500 - 1000 свиноматок); межхозяйственная кооперация в переработке и реализации свинины;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 информационном обеспечении - компьютеризация основных производственных процессов;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3) прогрессивных и инновационных технологий в птицеводстве: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селекционно-племенные технологии и программы, направленные на совершенствование продуктивных качеств птицы; создание новых пород, линий и кроссов всех видов сельскохозяйственной птицы мясного направления; межпородная гибридизация;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 интенсивное промышленное выращивание на мясо молодняка птицы мясных кроссов;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технология прерывистого освещения помещений при выращивании молодняка мясных пород;</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технологии регулирования энергетического обмена в организме молодняка птицы и повышение ее резистентности;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безотходная технология переработки продукции и биоконверсия отходов производства; высокотемпературная сушка и обеззараживание помета.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Научно-технологическое развитие пищевой промышленности связано с внедрением: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технологий получения экологически безопасных пищевых продуктов питания нового поколения массового и лечебно-профилактического назначения с учетом современных медико-биологических требований;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технологий основных и вспомогательных пищевых компонентов;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технологий пищевых продуктов с использованием добавок из нетрадиционного и дешевого сырья;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технологий пищевых продуктов на основе использования вторичных и побочных продуктов;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ресурсосберегающих технологий переработки сельскохозяйственного сырья на базе новых физических, биохимических и микробиологических методов обработки;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технологий утилизации отходов пищевых и микробиологических производств в других отраслях промышленности с целью экономии и высвобождения пищевого сырья;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технологий диетических, лечебно-профилактических продуктов и продуктов детского питания нового поколения;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технологий производства ферментных препаратов, ароматизаторов и пищевых кислот на базе биоконверсии сельскохозяйственного сырья и использования методов мутагенеза и генной инженерии.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4.1.6. Отрасли инфраструктуры народного хозяйства Воронежской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Энергетика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Стратегическими целями развития электроэнергетики являются: обеспечение энергетической безопасности региона, удовлетворение потребностей экономики и населения в электрической энергии (мощности) по доступным конкурентоспособным ценам, обеспечивающим окупаемость инвестиций в электроэнергетику, обеспечение надежности и безопасности работы системы электроснабжения в нормальных и чрезвычайных ситуациях, </w:t>
      </w:r>
      <w:r w:rsidRPr="00D269F6">
        <w:rPr>
          <w:rFonts w:ascii="Arial" w:eastAsia="Times New Roman" w:hAnsi="Arial" w:cs="Arial"/>
          <w:color w:val="2D2D2D"/>
          <w:spacing w:val="2"/>
          <w:sz w:val="21"/>
          <w:szCs w:val="21"/>
          <w:lang w:eastAsia="ru-RU"/>
        </w:rPr>
        <w:lastRenderedPageBreak/>
        <w:t>инвестиционно-инновационное обновление отрасли, направленное на обеспечение высокой энергетической, экономической и экологической эффективности производства, транспорта, распределения и использования электроэнергии.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Региональная структура генерирующих мощностей в соответствии с ожиданиями внутреннего спроса, требованиями обеспечения энергетической безопасности и повышения надежности электроснабжения будет формироваться следующим образом: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атомные электростанции с увеличением их доли в базовой части графика электрических нагрузок при синхронизации вводов новых блоков атомных электростанций с гидроаккумулирующими электростанциями;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тепловые электростанции с заменой газомазутных паросиловых энергоблоков на парогазовые и выводом из работы старого оборудования. Замена паросиловых на парогазовые установки будет поддержана мерами экономического характера, включая введение платы за выбросы углекислого газа и прямое запрещение использования устаревшего оборудования, не отвечающего современным технологическим и экологическим стандартам;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парогазовые, газотурбинные и модернизированные паротурбинные теплоэлектроцентрали разной мощности, в том числе блок-станции, работающие преимущественно на газе и отчасти на угле (там, где уголь является проектным топливом);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гидроаккумулирующие электростанции и газотурбинные установки для покрытия пиковой части графика нагрузок;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малой энергетики на возобновляемых источниках энергии, в том числе путем замещения локальной дизельной генерации;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теплоснабжения области на базе теплофикации с использованием современных экономически и экологически эффективных когенерационных установок широкого диапазона мощности;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распространение сферы теплофикации на базе паротурбинных, газотурбинных, газопоршневых и дизельных установок на область средних и малых тепловых нагрузок;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оптимальное сочетание централизованного и децентрализованного теплоснабжения с выделением соответствующих зон;</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систем централизованно-распределенной генерации тепловой энергии с разными типами источников, расположенных в районах теплопотребления;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модернизация и развитие систем децентрализованного теплоснабжения с применением высокоэффективных конденсационных газовых и угольных котлов, когенерационных, геотермальных, теплонасосных и других установок, а также автоматизированных индивидуальных теплогенераторов нового поколения для сжигания разных видов топлива;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 совершенствование режимов эксплуатации теплоэлектроцентралей с целью максимального сокращения выработки электрической энергии по конденсационному циклу, вынос ее выработки по условиям экономичности на загородные тепловые станции;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изменение структуры систем теплоснабжения, включая рациональное сочетание системного и элементного резервирования, оснащение автоматикой и измерительными приборами в рамках автоматизированных систем диспетчерского управления нормальными и аварийными режимами их эксплуатации, переход на независимую схему подключения нагрузки отопления (вентиляции и кондиционирования) и закрытую систему горячего водоснабжения;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совместная работа источников тепла на общие тепловые сети с оптимизацией режимов их функционирования;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реконструкция теплоэлектроцентралей, котельных, тепловых сетей и тепловых энергоустановок, проведение теплогидравлической наладки режимов, повышение качества строительно-монтажных и ремонтных работ, своевременное выполнение регламентных мероприятий, оснащение потребителей стационарными и передвижными установками теплоснабжения в качестве резервных и (или) аварийных источников теплоснабжения.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системах транспорта тепловой энергии: реконструкция тепловых сетей на основе применения теплопроводов заводской готовности, эффективных способов их прокладки, современных запорно-регулирующих устройств, автоматизированных узлов и систем управления режимами, а также организация оптимальных режимов функционирования тепловых сетей, теплоисточников и потребителей.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системах потребления тепловой энергии: учет количества и контроль качества потребляемой тепловой энергии, реконструкция и новое строительство зданий с применением теплоустойчивых конструкций, тепловой автоматики, энергоэффективного оборудования и теплопроводов, а также высокая технологичность всего процесса теплопотребления, доступность его контроля и возможность управления.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Строительство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Прогноз развития строительного комплекса исходит из необходимости своевременного удовлетворения потребностей рынка в современных строительных материалах, изделиях и конструкциях, повышения эффективности их производства и транспортировки, формирования мощностей строительной индустрии, достаточных для выполнения работ в запланированных объемах.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Решение задачи по развитию промышленности строительных материалов и освоению минерально-сырьевой базы строительного комплекса Воронежской области для повышения его конкурентоспособности будет осуществляться за счет:</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 содействия модернизации действующих производств и создания новых мощностей </w:t>
      </w:r>
      <w:r w:rsidRPr="00D269F6">
        <w:rPr>
          <w:rFonts w:ascii="Arial" w:eastAsia="Times New Roman" w:hAnsi="Arial" w:cs="Arial"/>
          <w:color w:val="2D2D2D"/>
          <w:spacing w:val="2"/>
          <w:sz w:val="21"/>
          <w:szCs w:val="21"/>
          <w:lang w:eastAsia="ru-RU"/>
        </w:rPr>
        <w:lastRenderedPageBreak/>
        <w:t>посредством оказания государственной поддержки в виде возмещения части процентной ставки за пользование кредитами коммерческих банков и предоставления налоговых льгот;</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создания условий для интеграции предприятий строительного комплекса Воронежской области в общероссийский и международный рынок на основе развития международного и межрегионального сотрудничества.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Транспорт и транспортное машиностроение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Одним из путей развития автомобильного транспорта является перевод его на альтернативные виды топлива, в частности, компримированный природный газ.</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числе основных технико-технологических мероприятий: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расширение сети автомобильных газонаполнительных компрессорных станций;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строительство пунктов по переводу автотранспортных средств на компримированный сжиженный газ и переосвидетельствованию газобаллонного оборудования (далее - ГБО);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проведение контрольно-надзорных мероприятий в части правильной эксплуатации переоборудованного транспорта, работ по корректированию нормативов проведения техобслуживания и техремонта транспортных средств, работающих на газомоторном топливе;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серийное производство газовых автомобилей;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разработка и производство надежного ГБО;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 сервисной сети для переоборудования автотранспортных средств.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Транспортное машиностроение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Приоритетным для экономики области является высокотехнологичное промышленное производство авиационной техники в рамках проектов кооперации по программе "Сухой-SSJ" и "Ил-476", вхождение в новые проекты по производству легкого военно-транспортного самолета Ил-112, широкая кооперация по программе строительства нового пассажирского самолета средней дальности "МС-21".</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Организационной формой такого производства является бизнес-модель предприятия, которая трансформируется путем выделения из структуры крупного завода с полным технологическим циклом самостоятельных, но подконтрольных корпорации малых и средних предприятий, использующих высокие технологии, т.е. являющихся потенциальными центрами компетенций или специализированными производствами и гарантированно поставляющих свою продукцию для сборочных заводов (в первую очередь, для ОАО "ВАСО").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В структуре Воронежского авиазавода будут выделены производства, которые станут базовыми резидентами технопарка, а именно: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центры специализации силовых агрегатов "Мотогондолы и пилоны", а также специализированное производство технологической оснастки из композиционных материалов с заданными характеристиками;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специализированные механообрабатывающие и трубопроводные производства;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центр входного/выходного контроля полимерных композиционных материалов и изделий из них, сертифицированный по международным стандартам.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ОАО "ВАСО" вместе с филиалами четырех авиационных конструкторских бюро, Федеральным государственным бюджетным образовательным учреждением высшего профессионального образования "Воронежский государственный университет" (далее - ФГБОУ ВПО "ВГУ"), Федеральным государственным бюджетным образовательным учреждением высшего профессионального образования "Воронежский государственный технический университет" (далее - ФГБОУ ВПО "ВГТУ") станут его якорными резидентами.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Пилотные инновационные проекты, планируемые к реализации в Воронежском авиационном технопарке: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Центр специализации по производству мотогондол и пилонов;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Центр по изготовлению специализированной технологической оснастки из композитных материалов;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Центр специализации по изготовлению узлов и деталей из композиционных материалов заданных характеристик;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Центр входного/выходного контроля полимерных композиционных материалов и изделий из них;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Центр коллективного доступа в сфере высоких технологий.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4.1.7. Недра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Перспективное направление диверсификации структуры экономики Воронежской области - создание горнорудной промышленности, обеспечивающей освоение и эксплуатацию разведанных запасов рудных месторождений.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Разведанные в Воронежской области медно-никелевые месторождения образуют третью после Норильской и Кольской медно-никелевую провинцию России. По предварительно оцененным запасам и ресурсам это одна из крупнейших в Европе база стратегически важных металлов.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В пределах области выделяются четыре геолого-генетические группы месторождений и разномасштабных проявлений цветных и благородных металлов: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сульфидные платиноидно-медно-никелевые мамонского типа;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сульфидные медисто-кобальт-никелевые платиносодержащие еланского типа;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малосульфидные собственно платинометалльные (крайне слабо изученные) в расслоенных плутонах елань-вязовского типа;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прогнозируемые сульфидные платиноидно-медно-никелевые и малосульфидные собственно платинометалльные в дифференцированных крупных по размерам (до 700 кв. км) трапповых интрузивах (практически не исследованные).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Кроме того, широко развиты группы разномасштабных проявлений в дайках и метасоматитах восточной части Воронежской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Первая группа, ассоциирующаяся с ультрамафит-мафитовыми интрузивами мамонского типа, преимущественно приурочена к западной части региона. В этой части никеленосного пояса располагаются Нижнемамонское и Подколодновское месторождения, а также свыше 15 разномасштабных и сравнительно богатых по содержанию металлов рудопроявлений. К той же группе относятся разномасштабные рудопроявления и зоны минерализации хрома, титана, меди, никеля, кобальта и платиноидов Аннинского рудного района.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Вторая, наиболее богатая по содержанию цветных и благородных металлов, - еланская группа никелевых месторождений и рудопроявлений (Еланское, Елкинское).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Среди находящихся в стадии подготовки к освоению наиболее значительными запасами (ресурсами) характеризуется Еланское месторождение с высоким содержанием цветных (Ni, Cu, Co), но сравнительно низким - благородных металлов.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2011 году право на разработку Еланского и Елкинского месторождений получило ОАО "Уральская горно-металлургическая компания" (далее - УГМК).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УГМК планирует построить в области медно-никелевый горно-обогатительный комбинат и обогатительную фабрику, к строительству которых планирует приступить в 2018 году. К 2027 году комбинат должен производить около 1,5 млн. тонн руды и получать из нее 300 тыс. тонн концентрата, который будет транспортироваться для переработки в Оренбургскую область на Медногорский медно-серный комбинат.</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Для подготовки месторождений к освоению будут продолжены геологоразведочные работы для оценки глубоких горизонтов рудных тел, уточнения параметров месторождений, данных по содержанию, распределению и оценке попутных полезных и вредных (As, Sb и др.) компонентов, вопросов обогащения руд при одновременном проведении поисковых и поисково-оценочных работ в пределах выявленных и потенциально перспективных площадей с целью наращивания запасов и ресурсов цветных и благородных металлов.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Подход к промышленной разработке выявленных месторождений на основе использования современных малоотходных технологий с максимальным сохранением окружающей среды на всех стадиях отработки руд и их обогащения с одновременным поиском на перспективных рудоносных объектах является определяющим в стратегии освоения новой минерально-сырьевой базы Центральной России, расширения ее ресурсов и выработке концепции создания новой для Воронежской области отрасли народного хозяйства - горнодобывающей промышленности цветных и благородных металлов.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программе освоения месторождения особое значение имеют вопросы экологической безопасности и социального развития. Должна быть реализована специальная программа, предусматривающая меры по анализу климатических условий, влияния антропогенных источников на окружающую среду, состояние растительного покрова, почв, животного мира, поверхностных вод, атмосферы, особо охраняемых территорий, радиационной обстановки, а равно - социально-экономической среды, памятников археологии.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Целесообразна организация кластера, ядро которого составят предприятия добывающей промышленности. Другие его участники - предприятия железнодорожного и автомобильного транспорта, строительные организации, образовательные и научно-исследовательские учреждения.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Базовая функция кластера - развитие процессов интеграции экономики области в мирохозяйственные связи. Его особенность - системообразующий характер, формы проявления которого многообразны.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Во-первых, формирование и функционирование кластера модифицирует структуру экономики области, вводя новый для нее элемент - горнорудную промышленность.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Во-вторых, кластер будет инициировать спрос на продукцию разных отраслей экономики региона: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оборудование для добычи и транспортировки полезных ископаемых;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объекты производственного и жилищного строительства;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грузоперевозки в крупномасштабных объемах.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В-третьих, кластер будет способен детерминировать качественные изменения в инфраструктурном обеспечении экономики области, прежде всего, в системах научного обслуживания и профессионального образования. Речь идет об их ориентации на научную тематику и подготовку кадров для добывающей и перерабатывающей промышленности.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составе основных эффектов, ожидаемых от функционирования и развития кластера, следует выделить: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 привлечение иностранных инвестиций, передовых технологий и опыта современного </w:t>
      </w:r>
      <w:r w:rsidRPr="00D269F6">
        <w:rPr>
          <w:rFonts w:ascii="Arial" w:eastAsia="Times New Roman" w:hAnsi="Arial" w:cs="Arial"/>
          <w:color w:val="2D2D2D"/>
          <w:spacing w:val="2"/>
          <w:sz w:val="21"/>
          <w:szCs w:val="21"/>
          <w:lang w:eastAsia="ru-RU"/>
        </w:rPr>
        <w:lastRenderedPageBreak/>
        <w:t>менеджмента в первичный сектор экономики региона;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рост занятости в реальном секторе экономики региона;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приращение и реализация экспортного потенциала региона;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рост ВРП за счет появления новой сферы производства, ее масштабного увеличения.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составе форм и инструментов государственной поддержки кластера востребованы: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заключение концессионных соглашений, в числе участников которых, с одной стороны, федеральные и региональные власти, с другой - крупные российские финансово-промышленные группы, а также транснациональные компании;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бюджетное финансирование геологоразведочных работ, ориентированных на уточнение объемов рудных месторождений и условий их разработки;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гранты на реализацию проектов в области НИОКР и профессиональной подготовки кадров для работы в организациях, формирующих ядро кластера.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4.1.8. Медицина и фармацевтика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Научно-технологическое развитие системы здравоохранения (ее медицинской и фармацевтической подсистем) Воронежской области до 2030 года опирается на поиск решений по широкому кругу научно-технологических платформ: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профилактическая среда, микробиология, иммунология (генная медицина, дистанционные методы мониторинга здоровья населения);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онкология (раннее выделение патологий);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сердечно-сосудистые заболевания;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эндокринология;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биотсиология и фармакология (новые средства медицинского назначения);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неврология и нейрология;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психиатрия и зависимости (психиатрическая и наркологическая службы);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репродуктивное здоровье;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педиатрия;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инструментальная и лабораторная диагностика;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 инфекционные болезни и эпидемиология;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хирургия и инновационные технологии;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регенеративная медицина (клеточные технологии);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персонал из направления медицина и геронтология.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Инновационное развитие здравоохранения обеспечивается: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созданием высокотехнологичных инновационных центров, в том числе Центра высоких технологий и регенеративной медицины и Центра клеточных технологий;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формированием кластера "Индустрия здоровья", объединяющего научно-технологический потенциал лечебных учреждений и высших учебных заведений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Инвестиции в научно-технологическое развитие позволят осуществить до 2030 года переход к дистанционной медицине на основе современных информационных технологий, малоинвазивной хирургии, клеточной и геномной медицине, здоровьесберегающим технологиям и персонализированным решениям проблем здоровья. Вектором критических технологий, опирающимся на потенциал воронежских вузов, выступает биомедицина.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4.1.9. Наука и образование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Основные направления научно-инновационной деятельности вузов и исследовательских организаций области должны быть ориентированы 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развитие научно-инновационной деятельности в соответствии с тенденцией глобализации мировой экономики и обеспечения интеграции отечественной науки и образования в мировую инновационную систему;</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2) позиционирование воронежских вузов в мировом научно-образовательном пространстве как международных научно-исследовательских центров в области приоритетных направлений развития науки и технологий;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3) развитие новых и укрепление существующих актуальных научных направлений;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 увеличение количества лицензионных соглашений и удельного веса средств, полученных университетами от управления объектами интеллектуальной собственности (коэффициент изобретательской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Среди основных направлений развития профессионального образования в прогнозный период:</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 оптимизация сети организаций профессионального образования, учитывающая </w:t>
      </w:r>
      <w:r w:rsidRPr="00D269F6">
        <w:rPr>
          <w:rFonts w:ascii="Arial" w:eastAsia="Times New Roman" w:hAnsi="Arial" w:cs="Arial"/>
          <w:color w:val="2D2D2D"/>
          <w:spacing w:val="2"/>
          <w:sz w:val="21"/>
          <w:szCs w:val="21"/>
          <w:lang w:eastAsia="ru-RU"/>
        </w:rPr>
        <w:lastRenderedPageBreak/>
        <w:t>особенности региона и конкурентоспособность его вузов;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модернизация структуры программ профессионального образования, обеспечение их гибкости и эффективности;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модернизация содержания и технологий профессионального образования для обеспечения их соответствия требованиям современной экономики и изменяющимся запросам населения;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формирование системы непрерывного образования, позволяющей выстраивать гибкие (модульные) траектории освоения новых компетенций как по запросам населения, так и по заказу компаний;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трансформирование части программ высшего и среднего профессионального образования в программы прикладного бакалавриата;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интернационализация российского высшего образования и расширение экспорта образовательных услуг.</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Наиболее эффективной формой организации науки и образования в соответствии с общемировыми и национальными тенденциями является кластеризация научно-образовательного пространства. Эта тенденция характерна для Воронежской области, где в соответствии с моделью формирования и развития научно-производственных кластеров формируются: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высокотехнологичный научно-производственный кластер на основе создания и развития инновационной исследовательской территории за счет уникальной концентрации на ней технологических, научных и кадровых компетенций предприятий - участников кластера (ФГБОУ ВПО "ВГУ", ФГБОУ ВПО "ВГТУ", ОАО "Концерн "Созвездие", технопарк "Содружество", малые и средние предприятия);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научно-производственный кластер экологического приборостроения и биотехнологий на основе создания и развития бизнес-среды, благоприятной для высокотехнологического производства инновационной продукции для гражданского сектора экономики на основе наиболее полного использования природно-климатического и ресурсного потенциала территории (Воронежский государственный университет инженерных технологий, ОАО "Корпорация НПО "РиФ", группа компаний "ЭФКО", ЗАО "Молвест", малые и средние отраслевые предприятия);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научно-производственный строительный кластер, создаваемый на основе кластерной агломерации инфраструктурных объектов, необходимых для развития бизнес-коммуникаций и формирования институциональной структуры кластера (Федеральное государственное бюджетное образовательное учреждение высшего профессионального образования "Воронежский государственный архитектурно-строительный университет" (далее - ФГБОУ ВПО "ВГАСУ"), СРСУ-7, ВМУ-1, ВМУ-3, технопарк ВГАСУ, малые и средние отраслевые предприятия).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Развитие технологий в научно-образовательной сфере будет направлено на решение следующих основных задач:</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Достижение современного уровня в области предоставления лицензированных образовательных услуг по подготовке специалистов различных ступеней (начальное, среднее, высшее, послевузовское, дополнительное профессиональное) и уровней образования (бакалавр, специалист, магистр, кандидат, доктор наук), конкурентоспособных на рынке труда, в соответствии с существующими и перспективными потребностями личности, общества, региона и государства.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Приоритетными направлениями развития науки и образования в Воронежской области, выделенными с учетом потенциала региона и его ресурсных возможностей, в процессе решения первой задачи являются: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Совершенствование менеджмента в организациях системы образования, применение инструментов и методов эффективного управления.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2. Разработка Кодекса профессиональной этики руководителя образовательного учреждения.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3. Развитие рейтинговой системы оценки качества образования.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 Расширение общественного участия в управлении образованием.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5. Софинансирование развития образовательных учреждений (формирование эндаумент-фондов).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6. Разработка и реализация региональных комплексных проектов и целевых программ развития организаций системы образования.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7. Гармонизация взаимодействия образовательных учреждений и прочих стейкхолдеров регионального развития путем разработки и реализации индикативных планов.</w:t>
      </w:r>
    </w:p>
    <w:p w:rsidR="00D269F6" w:rsidRPr="00D269F6" w:rsidRDefault="00D269F6" w:rsidP="00D269F6">
      <w:pPr>
        <w:shd w:val="clear" w:color="auto" w:fill="E9ECF1"/>
        <w:spacing w:after="0" w:line="240" w:lineRule="auto"/>
        <w:textAlignment w:val="baseline"/>
        <w:outlineLvl w:val="4"/>
        <w:rPr>
          <w:rFonts w:ascii="Arial" w:eastAsia="Times New Roman" w:hAnsi="Arial" w:cs="Arial"/>
          <w:color w:val="242424"/>
          <w:spacing w:val="2"/>
          <w:sz w:val="20"/>
          <w:szCs w:val="20"/>
          <w:lang w:eastAsia="ru-RU"/>
        </w:rPr>
      </w:pPr>
      <w:r w:rsidRPr="00D269F6">
        <w:rPr>
          <w:rFonts w:ascii="Arial" w:eastAsia="Times New Roman" w:hAnsi="Arial" w:cs="Arial"/>
          <w:color w:val="242424"/>
          <w:spacing w:val="2"/>
          <w:sz w:val="20"/>
          <w:szCs w:val="20"/>
          <w:lang w:eastAsia="ru-RU"/>
        </w:rPr>
        <w:t>4.2. Ожидаемые результаты научно-технологического развития</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Ожидаемые результаты научно-технологического развития представлены в показателях (в абсолютном и относительном видах), достаточно полно описывающих тенденции изменений в эффективности народного хозяйства (темпы роста) и эффективности занятых в нем работников. Соблюдена корреспонденция с целевыми показателями Стратегии социально-экономического развития Воронежской области на период до 2020 года.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качестве ресурсов, обеспечивающих достижение прогнозируемого уровня развития, рассматриваются объемы вложений в определяющие сферы (исследования, основные фонды).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Состав показателей представлен в таблице 11.</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lastRenderedPageBreak/>
        <w:t>Таблица 11</w:t>
      </w:r>
    </w:p>
    <w:p w:rsidR="00D269F6" w:rsidRPr="00D269F6" w:rsidRDefault="00D269F6" w:rsidP="00D269F6">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69F6">
        <w:rPr>
          <w:rFonts w:ascii="Arial" w:eastAsia="Times New Roman" w:hAnsi="Arial" w:cs="Arial"/>
          <w:color w:val="4C4C4C"/>
          <w:spacing w:val="2"/>
          <w:sz w:val="29"/>
          <w:szCs w:val="29"/>
          <w:lang w:eastAsia="ru-RU"/>
        </w:rPr>
        <w:t>Результаты (целевые показатели) научно-технологического развития Воронежской области</w:t>
      </w:r>
    </w:p>
    <w:tbl>
      <w:tblPr>
        <w:tblW w:w="0" w:type="auto"/>
        <w:tblCellMar>
          <w:left w:w="0" w:type="dxa"/>
          <w:right w:w="0" w:type="dxa"/>
        </w:tblCellMar>
        <w:tblLook w:val="04A0"/>
      </w:tblPr>
      <w:tblGrid>
        <w:gridCol w:w="1725"/>
        <w:gridCol w:w="2419"/>
        <w:gridCol w:w="1246"/>
        <w:gridCol w:w="920"/>
        <w:gridCol w:w="1015"/>
        <w:gridCol w:w="1015"/>
        <w:gridCol w:w="1015"/>
      </w:tblGrid>
      <w:tr w:rsidR="00D269F6" w:rsidRPr="00D269F6" w:rsidTr="00D269F6">
        <w:trPr>
          <w:trHeight w:val="15"/>
        </w:trPr>
        <w:tc>
          <w:tcPr>
            <w:tcW w:w="221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4066"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84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47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N п/п</w:t>
            </w: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Показатели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 изм.</w:t>
            </w:r>
          </w:p>
        </w:tc>
        <w:tc>
          <w:tcPr>
            <w:tcW w:w="6653"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Годы</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2009</w:t>
            </w: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2012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2020 &lt;6&gt;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2030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406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Ожидаемая продолжительность жизни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Лет</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68,9</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70,8</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72,0</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75,0</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406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102,8</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104,5</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108,9</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w:t>
            </w:r>
          </w:p>
        </w:tc>
        <w:tc>
          <w:tcPr>
            <w:tcW w:w="406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Количество созданных высокопроизводительных рабочих мест</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&lt;7&gt;</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63776 &lt;8&gt;</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406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 &lt;9&gt;</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500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406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Количество созданных передовых технологий</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12</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48</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406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75</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400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406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Количество использованных передовых технологий</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1759</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1666</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3500</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5000</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406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94,7</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198,9</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284,3</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406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ВРП на душу населения в текущих ценах</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Тыс. рублей</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129,1</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191,7 &lt;10&gt;</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487,3</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580,95</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406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148,5</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220</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450,0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406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Производительность труда:</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Млн. рублей/чел.</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промышленность</w:t>
            </w:r>
          </w:p>
        </w:tc>
        <w:tc>
          <w:tcPr>
            <w:tcW w:w="4066"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1,31</w:t>
            </w:r>
          </w:p>
        </w:tc>
        <w:tc>
          <w:tcPr>
            <w:tcW w:w="1663"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2,09</w:t>
            </w:r>
          </w:p>
        </w:tc>
        <w:tc>
          <w:tcPr>
            <w:tcW w:w="1663"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5,24</w:t>
            </w:r>
          </w:p>
        </w:tc>
        <w:tc>
          <w:tcPr>
            <w:tcW w:w="1848"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10,5</w:t>
            </w:r>
          </w:p>
        </w:tc>
        <w:tc>
          <w:tcPr>
            <w:tcW w:w="1478"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4066"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663"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159,5</w:t>
            </w:r>
          </w:p>
        </w:tc>
        <w:tc>
          <w:tcPr>
            <w:tcW w:w="1663"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400,0</w:t>
            </w:r>
          </w:p>
        </w:tc>
        <w:tc>
          <w:tcPr>
            <w:tcW w:w="1848"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800,0</w:t>
            </w:r>
          </w:p>
        </w:tc>
        <w:tc>
          <w:tcPr>
            <w:tcW w:w="1478"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сельское хозяйство</w:t>
            </w:r>
          </w:p>
        </w:tc>
        <w:tc>
          <w:tcPr>
            <w:tcW w:w="4066"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0,5</w:t>
            </w:r>
          </w:p>
        </w:tc>
        <w:tc>
          <w:tcPr>
            <w:tcW w:w="1663"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0,64</w:t>
            </w:r>
          </w:p>
        </w:tc>
        <w:tc>
          <w:tcPr>
            <w:tcW w:w="1663"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w:t>
            </w:r>
          </w:p>
        </w:tc>
        <w:tc>
          <w:tcPr>
            <w:tcW w:w="1848"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w:t>
            </w:r>
          </w:p>
        </w:tc>
        <w:tc>
          <w:tcPr>
            <w:tcW w:w="1478" w:type="dxa"/>
            <w:tcBorders>
              <w:top w:val="nil"/>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406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128</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200</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400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w:t>
            </w:r>
          </w:p>
        </w:tc>
        <w:tc>
          <w:tcPr>
            <w:tcW w:w="406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xml:space="preserve">Объем инновационной продукции, работ, </w:t>
            </w:r>
            <w:r w:rsidRPr="00D269F6">
              <w:rPr>
                <w:rFonts w:ascii="Times New Roman" w:eastAsia="Times New Roman" w:hAnsi="Times New Roman" w:cs="Times New Roman"/>
                <w:color w:val="2D2D2D"/>
                <w:sz w:val="21"/>
                <w:szCs w:val="21"/>
                <w:lang w:eastAsia="ru-RU"/>
              </w:rPr>
              <w:lastRenderedPageBreak/>
              <w:t>услуг</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lastRenderedPageBreak/>
              <w:t>Млн. рублей</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7505,7</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16169,4</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56288,3</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lastRenderedPageBreak/>
              <w:t>% к базовому году</w:t>
            </w:r>
          </w:p>
        </w:tc>
        <w:tc>
          <w:tcPr>
            <w:tcW w:w="406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215,45</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750,0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w:t>
            </w:r>
          </w:p>
        </w:tc>
        <w:tc>
          <w:tcPr>
            <w:tcW w:w="406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Внутренние затраты на исследования и разработки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Млн. рублей</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4961,4</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6421,8</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24807,0</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406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129,4</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500,0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w:t>
            </w:r>
          </w:p>
        </w:tc>
        <w:tc>
          <w:tcPr>
            <w:tcW w:w="406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Объем инвестиций в основной капитал</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Млн. рублей</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94788,3</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179989,7 &lt;11&gt;</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500000,0</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750000,0</w:t>
            </w:r>
          </w:p>
        </w:tc>
      </w:tr>
      <w:tr w:rsidR="00D269F6" w:rsidRPr="00D269F6" w:rsidTr="00D269F6">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406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189,9</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527,5</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791,2</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bl>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________________</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&lt;6&gt; В целевых индикаторах Стратегии социально-экономического развития Воронежской области на период до 2020 года.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&lt;7&gt; Данный показатель в 2009 году не рассчитывался.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&lt;8&gt; По временной методике (критерии - в стадии изменения).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&lt;9&gt; В связи с отсутствием расчета показателя в 2009 году в качестве базового определен 2012 год.</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&lt;10&gt; Данные за 2011 год.</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&lt;11&gt; Данные уточняются.</w:t>
      </w:r>
    </w:p>
    <w:p w:rsidR="00D269F6" w:rsidRPr="00D269F6" w:rsidRDefault="00D269F6" w:rsidP="00D269F6">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Таблица 12</w:t>
      </w:r>
    </w:p>
    <w:p w:rsidR="00D269F6" w:rsidRPr="00D269F6" w:rsidRDefault="00D269F6" w:rsidP="00D269F6">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69F6">
        <w:rPr>
          <w:rFonts w:ascii="Arial" w:eastAsia="Times New Roman" w:hAnsi="Arial" w:cs="Arial"/>
          <w:color w:val="4C4C4C"/>
          <w:spacing w:val="2"/>
          <w:sz w:val="29"/>
          <w:szCs w:val="29"/>
          <w:lang w:eastAsia="ru-RU"/>
        </w:rPr>
        <w:t>Показатели научно-технологического развития секторов и видов экономической деятельности Воронежской области</w:t>
      </w:r>
    </w:p>
    <w:tbl>
      <w:tblPr>
        <w:tblW w:w="0" w:type="auto"/>
        <w:tblCellMar>
          <w:left w:w="0" w:type="dxa"/>
          <w:right w:w="0" w:type="dxa"/>
        </w:tblCellMar>
        <w:tblLook w:val="04A0"/>
      </w:tblPr>
      <w:tblGrid>
        <w:gridCol w:w="733"/>
        <w:gridCol w:w="3497"/>
        <w:gridCol w:w="1181"/>
        <w:gridCol w:w="1389"/>
        <w:gridCol w:w="1261"/>
        <w:gridCol w:w="1294"/>
      </w:tblGrid>
      <w:tr w:rsidR="00D269F6" w:rsidRPr="00D269F6" w:rsidTr="00D269F6">
        <w:trPr>
          <w:trHeight w:val="15"/>
        </w:trPr>
        <w:tc>
          <w:tcPr>
            <w:tcW w:w="739"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3881"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294"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663"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47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c>
          <w:tcPr>
            <w:tcW w:w="1478" w:type="dxa"/>
            <w:hideMark/>
          </w:tcPr>
          <w:p w:rsidR="00D269F6" w:rsidRPr="00D269F6" w:rsidRDefault="00D269F6" w:rsidP="00D269F6">
            <w:pPr>
              <w:spacing w:after="0" w:line="240" w:lineRule="auto"/>
              <w:rPr>
                <w:rFonts w:ascii="Times New Roman" w:eastAsia="Times New Roman" w:hAnsi="Times New Roman" w:cs="Times New Roman"/>
                <w:sz w:val="2"/>
                <w:szCs w:val="24"/>
                <w:lang w:eastAsia="ru-RU"/>
              </w:rPr>
            </w:pP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N п/п</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Показатели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 изм.</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Годы</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2012</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2020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2030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979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Сельское хозяйство</w:t>
            </w:r>
          </w:p>
        </w:tc>
      </w:tr>
      <w:tr w:rsidR="00D269F6" w:rsidRPr="00D269F6" w:rsidTr="00D269F6">
        <w:tc>
          <w:tcPr>
            <w:tcW w:w="73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Прогрессивные технологии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38</w:t>
            </w:r>
          </w:p>
        </w:tc>
      </w:tr>
      <w:tr w:rsidR="00D269F6" w:rsidRPr="00D269F6" w:rsidTr="00D269F6">
        <w:tc>
          <w:tcPr>
            <w:tcW w:w="739"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r>
      <w:tr w:rsidR="00D269F6" w:rsidRPr="00D269F6" w:rsidTr="00D269F6">
        <w:tc>
          <w:tcPr>
            <w:tcW w:w="73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Удельный вес продукции, производимой по ресурсосберегающим технологиям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30 - 35</w:t>
            </w:r>
          </w:p>
        </w:tc>
      </w:tr>
      <w:tr w:rsidR="00D269F6" w:rsidRPr="00D269F6" w:rsidTr="00D269F6">
        <w:tc>
          <w:tcPr>
            <w:tcW w:w="739"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w:t>
            </w:r>
          </w:p>
        </w:tc>
        <w:tc>
          <w:tcPr>
            <w:tcW w:w="979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Пищевая и перерабатывающая промышленность</w:t>
            </w:r>
          </w:p>
        </w:tc>
      </w:tr>
      <w:tr w:rsidR="00D269F6" w:rsidRPr="00D269F6" w:rsidTr="00D269F6">
        <w:tc>
          <w:tcPr>
            <w:tcW w:w="73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Прогрессивные технологии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w:t>
            </w:r>
          </w:p>
        </w:tc>
      </w:tr>
      <w:tr w:rsidR="00D269F6" w:rsidRPr="00D269F6" w:rsidTr="00D269F6">
        <w:tc>
          <w:tcPr>
            <w:tcW w:w="739"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979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Оборонно-промышленный комплекс</w:t>
            </w:r>
          </w:p>
        </w:tc>
      </w:tr>
      <w:tr w:rsidR="00D269F6" w:rsidRPr="00D269F6" w:rsidTr="00D269F6">
        <w:tc>
          <w:tcPr>
            <w:tcW w:w="73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Разработка новых продуктов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w:t>
            </w:r>
          </w:p>
        </w:tc>
      </w:tr>
      <w:tr w:rsidR="00D269F6" w:rsidRPr="00D269F6" w:rsidTr="00D269F6">
        <w:tc>
          <w:tcPr>
            <w:tcW w:w="739"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150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Производительность труда (к базовому году)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175</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300,0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Количество действующих патентов (к базовому году)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175</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250,0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Удельный вес применяемых новых технологий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85</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w:t>
            </w:r>
          </w:p>
        </w:tc>
        <w:tc>
          <w:tcPr>
            <w:tcW w:w="979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Отрасли инфраструктуры</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Информационные технологии и связь</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Охват жилой территории высокоскоростными каналами связи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82,0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100,0</w:t>
            </w:r>
          </w:p>
        </w:tc>
      </w:tr>
      <w:tr w:rsidR="00D269F6" w:rsidRPr="00D269F6" w:rsidTr="00D269F6">
        <w:tc>
          <w:tcPr>
            <w:tcW w:w="73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Применение технологий "Больших данных" в экономике региона и государственном управлении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50</w:t>
            </w:r>
          </w:p>
        </w:tc>
      </w:tr>
      <w:tr w:rsidR="00D269F6" w:rsidRPr="00D269F6" w:rsidTr="00D269F6">
        <w:tc>
          <w:tcPr>
            <w:tcW w:w="739"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666,7</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1666,7</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Доля отраслей, где внедрено взаимодействие "Интернет вещей"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Количество IT-технологий нового поколения в государственном секторе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19</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28</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979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Энергетика</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Доля природного газа в топливном балансе организаций бюджетной сферы</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&lt;12&gt;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Доля тепловой энергии, выработанной в области за счет атомных и возобновляемых источников энергии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8,9</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Доля электрической энергии, выработанной в области за счет атомных и возобновляемых источников энергии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91,4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93,6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95,8</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979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Строительство</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Количество высокопроизводительных рабочих мест на 1000 работников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85</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109</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979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Машиностроение</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а)</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Коэффициент обновления основных фондов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93</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б)</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Удельный вес высокопроизводительных рабочих мест</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28,6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69,7</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lastRenderedPageBreak/>
              <w:t>в)</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Производительность труда (к базовому году)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170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290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Уровень инновационной активности машиностроительных организаций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85</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Удельный вес применяемых передовых технологий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95,0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Удельный вес инновационной продукции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33,0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w:t>
            </w:r>
          </w:p>
        </w:tc>
        <w:tc>
          <w:tcPr>
            <w:tcW w:w="979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Химия и нефтехимия</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Доля экспортируемой предприятиями продукции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65,0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73,0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Удельный вес применяемых передовых производственных технологий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11,0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23,0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35,0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Удельный вес инновационной продукции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1,95</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54,0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Удельный вес инновационной активности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42,9</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95,0</w:t>
            </w:r>
          </w:p>
        </w:tc>
      </w:tr>
      <w:tr w:rsidR="00D269F6" w:rsidRPr="00D269F6" w:rsidTr="00D269F6">
        <w:tc>
          <w:tcPr>
            <w:tcW w:w="73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Количество высокотехнологичных рабочих мест</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Ед.</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200</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1500</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3000</w:t>
            </w:r>
          </w:p>
        </w:tc>
      </w:tr>
      <w:tr w:rsidR="00D269F6" w:rsidRPr="00D269F6" w:rsidTr="00D269F6">
        <w:tc>
          <w:tcPr>
            <w:tcW w:w="739"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итогу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750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1500</w:t>
            </w:r>
          </w:p>
        </w:tc>
      </w:tr>
      <w:tr w:rsidR="00D269F6" w:rsidRPr="00D269F6" w:rsidTr="00D269F6">
        <w:tc>
          <w:tcPr>
            <w:tcW w:w="73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Производительность труда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Млн. рублей</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4,04</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7,44</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15,2</w:t>
            </w:r>
          </w:p>
        </w:tc>
      </w:tr>
      <w:tr w:rsidR="00D269F6" w:rsidRPr="00D269F6" w:rsidTr="00D269F6">
        <w:tc>
          <w:tcPr>
            <w:tcW w:w="739"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 к базовому году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184,1</w:t>
            </w: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376,2</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7</w:t>
            </w:r>
          </w:p>
        </w:tc>
        <w:tc>
          <w:tcPr>
            <w:tcW w:w="979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Производство отраслей легкой промышленности</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Объем производства трикотажных изделий крупными и средними предприятиями (в действующих ценах)</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Млн. рублей</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96,84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200,0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300,0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Переработка шкур крупного рогатого скота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 &lt;13&gt;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300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400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8</w:t>
            </w:r>
          </w:p>
        </w:tc>
        <w:tc>
          <w:tcPr>
            <w:tcW w:w="979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Медицина и фармацевтика</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Доля населения, прошедшего генетическое тестирование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 &lt;14&gt;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Доля населения, имеющего электронные медицинские карты с геномными данными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2 &lt;15&gt;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Охват населения дистанционной диагностикой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 &lt;16&gt;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30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r>
      <w:tr w:rsidR="00D269F6" w:rsidRPr="00D269F6" w:rsidTr="00D269F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Доля учреждений здравоохранения, имеющих возможность проведения телемедицинских консультаций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14 &lt;17&gt;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54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269F6" w:rsidRPr="00D269F6" w:rsidRDefault="00D269F6" w:rsidP="00D269F6">
            <w:pPr>
              <w:spacing w:after="0" w:line="315" w:lineRule="atLeast"/>
              <w:textAlignment w:val="baseline"/>
              <w:rPr>
                <w:rFonts w:ascii="Times New Roman" w:eastAsia="Times New Roman" w:hAnsi="Times New Roman" w:cs="Times New Roman"/>
                <w:color w:val="2D2D2D"/>
                <w:sz w:val="21"/>
                <w:szCs w:val="21"/>
                <w:lang w:eastAsia="ru-RU"/>
              </w:rPr>
            </w:pPr>
            <w:r w:rsidRPr="00D269F6">
              <w:rPr>
                <w:rFonts w:ascii="Times New Roman" w:eastAsia="Times New Roman" w:hAnsi="Times New Roman" w:cs="Times New Roman"/>
                <w:color w:val="2D2D2D"/>
                <w:sz w:val="21"/>
                <w:szCs w:val="21"/>
                <w:lang w:eastAsia="ru-RU"/>
              </w:rPr>
              <w:t>100</w:t>
            </w:r>
          </w:p>
        </w:tc>
      </w:tr>
    </w:tbl>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t>________________</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lastRenderedPageBreak/>
        <w:t>&lt;12&gt; В 2012 году показатель не рассчитывался.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&lt;13&gt; Не учитывается госстатистикой. Принято условно.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&lt;14&gt; Расчеты за 2014 год.</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&lt;15&gt; Расчеты за 2014 год.</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&lt;16&gt; Расчеты за 2014 год.</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&lt;17&gt; Расчеты за 2014 год.</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5. Ключевые направления научно-технологической политики Воронежской области</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В составе ключевых направлений научно-технологической политики Воронежской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процессов кластеризации социально-экономического пространства региона;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государственно-частного партнерства;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инфраструктуры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кадрового обеспечения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информационного обеспечения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совершенствование организации производства и управления на предприятиях.</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5.1. Развитие процессов кластеризации социально-экономического пространства региона</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Разработка мер, призванных обеспечить активизацию и повысить эффективность кластерной политики в регионе, должна учитывать цели и задачи, поставленные в программных документах органов государственной власти Воронежской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Актуализированный вариант Стратегии социально-экономического развития Воронежской области предусматривает создание сети территориально-производственных кластеров, включающей кластеры: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"Индустрия питания" (реализация проектов в сфере производства продуктов питания, оборудования для пищевой промышленности, пищевых ингредиентов, тары и упаковки для пищевых продуктов, в сфере торговли и логистики, исследований, разработок и образования, связанных с пищевой промышленностью, технологическим машиностроением);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 "Агропромышленный комплекс" (реализация проектов в сфере производства сельхозпродукции, продуктов переработки, техники и оборудования для АПК, удобрений и агрохимии, селекционной работы по выведению племенного поголовья, производству </w:t>
      </w:r>
      <w:r w:rsidRPr="00D269F6">
        <w:rPr>
          <w:rFonts w:ascii="Arial" w:eastAsia="Times New Roman" w:hAnsi="Arial" w:cs="Arial"/>
          <w:color w:val="2D2D2D"/>
          <w:spacing w:val="2"/>
          <w:sz w:val="21"/>
          <w:szCs w:val="21"/>
          <w:lang w:eastAsia="ru-RU"/>
        </w:rPr>
        <w:lastRenderedPageBreak/>
        <w:t>семян, исследований и разработок в сфере сельского хозяйства и переработки, образования в данной сфере);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"Оборонно-промышленный комплекс" (реализация проектов, ориентированных на производство высокотехнологичной машиностроительной продукции);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"Обеспечение сырьевых отраслей" (реализация проектов, ориентированных на производство оборудования для нефте- и газодобычи и сопутствующих отраслей, переработки нефти и газа, разработку инновационной продукции для крупных вертикально-интегрированных российских нефтегазовых корпораций, независимых добывающих и перерабатывающих компаний);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"Жилье и строительство" (реализация проектов, ориентированных на обеспечение потребности населения, организаций в жилье, нежилых объектах и товарах для их обустройства);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"Индустрия здоровья" (реализация проектов, ориентированных на производство лекарственных препаратов, медицинской техники, медицинского оборудования, исследования и образование в сфере медицины и здравоохранения);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"Знания и информация" (реализация проектов, ориентированных на удовлетворение потребностей населения в получении различного рода информации).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Состав кластеров, учитывая конкурентный потенциал Воронежской области, целесообразно расширить, реализуя меры, обеспечивающие формирование: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кластера, ядро которого в долгосрочной перспективе составят предприятия добывающей промышленности, ориентированные на освоение и эксплуатацию разведанных в области запасов рудных месторождений;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транспортно-логистического кластера;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туристско-рекреационного кластера, в составе основных направлений деятельности которого: санаторно-курортное обслуживание (по широкому спектру лечения, включая инновационные технологии и методы); культурно-познавательный и спортивный туризм; охота и рыболовство.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Повышение эффективности кластерной политики в регионе сопряжено с совершенствованием инструментария государственной поддержки процессов формирования и развития кластеров. В составе основных мер: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1. Расширение перечня задач, реализуемых Центром кластерного развития Воронежской области. В его компетенцию целесообразно ввести: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 обоснование рациональной модели кластерной организации (выбор типа кластера, определение структуры кластера, основных видов его деятельности, связей между </w:t>
      </w:r>
      <w:r w:rsidRPr="00D269F6">
        <w:rPr>
          <w:rFonts w:ascii="Arial" w:eastAsia="Times New Roman" w:hAnsi="Arial" w:cs="Arial"/>
          <w:color w:val="2D2D2D"/>
          <w:spacing w:val="2"/>
          <w:sz w:val="21"/>
          <w:szCs w:val="21"/>
          <w:lang w:eastAsia="ru-RU"/>
        </w:rPr>
        <w:lastRenderedPageBreak/>
        <w:t>участниками);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проведение маркетинговых исследований для оценки потенциала рынков сбыта конечной продукции кластеров;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разработка стратегии и программы формирования и развития конкретного кластера, содержащей необходимое экономико-организационное обеспечение государственного управления;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мобилизация и использование финансовых ресурсов, необходимых для инфраструктурного и научно-методического сопровождения проекта формирования и развития кластера;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оказание информационно-консультативных услуг участникам кластеров;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проведение PR-акций по продвижению продукции кластеров на национальный и мировой рынки;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осуществление мониторинга состояния и результатов процесса кластеризации;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лоббирование интересов кластера в органах государственной власти федерального и регионального уровней;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организация переподготовки и повышения квалификации работников (рабочих, специалистов, менеджеров) организаций кластера.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2. Совершенствование практики разработки региональных целевых программ. Такие программы должны включать прогнозно-аналитический и организационно-экономический блоки и содержать: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цели социально-экономического развития региона, муниципальных образований, с достижением которых связана реализация конкретной кластерной инициативы;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сферы (отрасли, виды экономической деятельности, территории) реализации кластерной инициативы;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предпочтительный вариант структуры кластера (состав базовых организаций его ядра и периферии);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эффекты, достигаемые в процессе кластеризации;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систему мероприятий, необходимых для каждого этапа жизненного цикла кластера, и прогнозные оценки их ресурсного обеспечения;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систему индикаторов оценки состояния и результатов процесса кластеризации (промежуточной, итоговой).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3. Совершенствование информационного обеспечения.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Для обеспечения адекватной оценки состояния и результатов кластеризации целесообразно использование следующих индикаторов: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виды инновационной (для российского, мирового рынков) продукции (услуг), производимой кластером;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объем инновационной продукции (услуг) кластера;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доля добавленной стоимости, созданной в производстве инновационной продукции, в общем объеме добавленной стоимости, созданной участниками кластера;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численность занятых на предприятиях и организациях кластера;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число вновь созданных рабочих мест;</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производительность труда (рассчитанная по добавленной стоимости) в кластере;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объем привлеченных инвестиций, в т.ч. иностранных;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география рынков сбыта (национальный, мировой).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4. Расширение состава участников кластеров. Организации, осуществляющие образование и научно-исследовательскую деятельность, целесообразно рассматривать в качестве необходимых подсистем ряда кластеров Воронежской области (IT-кластер, медицинский кластер, кластер наукоемкого машиностроения и др.).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Перспективными направлениями деятельности научно-образовательного комплекса региона, реализуемого в кластерных образованиях, должны стать:</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разработка и внедрение IT-технологий, формирование элементов "новой экономики";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экспорт образовательных и научных услуг, переподготовка и повышение квалификации кадров руководителей и специалистов для инновационной экономики;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разработка и апробация новых методов лечения, медицинской аппаратуры.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5. Обновление инструментария государственной поддержки.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Применительно к конкретным кластерам Воронежской области можно предложить избирательные варианты инструментального обеспечения государственного управления процессами их формирования и развития: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а) кластеры, ядро которых образуют предприятия оборонно-промышленного комплекса, </w:t>
      </w:r>
      <w:r w:rsidRPr="00D269F6">
        <w:rPr>
          <w:rFonts w:ascii="Arial" w:eastAsia="Times New Roman" w:hAnsi="Arial" w:cs="Arial"/>
          <w:color w:val="2D2D2D"/>
          <w:spacing w:val="2"/>
          <w:sz w:val="21"/>
          <w:szCs w:val="21"/>
          <w:lang w:eastAsia="ru-RU"/>
        </w:rPr>
        <w:lastRenderedPageBreak/>
        <w:t>функционирующие в ракетно-космическом и радиоэлектронном комплексах (кластер наукоемкого машиностроения и радиоэлектронный). Государственная поддержка предприятий, образующих их ядро, должна включать следующие формы и инструменты управления: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заключение межрегиональных соглашений (для кластера, функционирующего в радиоэлектронном комплексе) и соглашений между государственными органами субъекта РФ и руководством Федерального государственного унитарного предприятия "Государственный космический научно-производственный центр им М.В. Хруничева" (для кластера, функционирующего в ракетно-космическом комплексе), в которых определяются долгосрочные цели функционирования кластеров, обязательства сторон соглашений о формах и инструментах поддержки процессов их развития;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налоговые льготы, инвестиционные налоговые кредиты; субсидирование процентной ставки по инвестиционным кредитам банков, дополняющие финансовые ресурсы, поступающие по федеральной целевой программе "Реформирование оборонно-промышленного комплекса РФ", гранты на научно-технические разработки, финансируемые из бюджета развития субъекта РФ, бюджетные ассигнования Инвестиционного фонда РФ, сопряженные с частными инвестициями.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б) агропромышленный кластер, включающий предприятия растениеводства, животноводства и пищевой промышленности. В составе форм и инструментов его государственной поддержки: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государственный заказ на формирование продовольственного фонда, размещаемый на конкурсной основе;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бюджетные ссуды и гранты, выделяемые на финансирование научно-технических разработок;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субсидирование процентной ставки по инвестиционным кредитам, полученным на разработку новых технологий и видов продукции;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долевое участие в реализации проектов по развитию инфраструктуры (подготовка, переподготовка и повышение квалификации кадров), государственные гарантии для инвестиционных проектов, реализация которых обеспечивает производство (создание, расширение) импортозамещающей или экспортоориентированной продукции;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разнообразные формы лизинга (оперативный, возвратный, раздельный и др.), используемые государственными или смешанными компаниями.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кластер строительства и стройиндустрии. В составе форм и инструментов его государственной поддержки востребованы: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инвестиционные налоговые кредиты, предоставляемые при условии внедрения новых технологий в производство стройматериалов и строительство;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 гранты на научно-технические разработки вузов, связанные с производством новых строительных материалов, разработкой новых технологий для производства стройматериалов и строительства;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государственный заказ на формирование целевого жилищного фонда; бюджетные ссуды, выделяемые на жилищное строительство по фиксированным ценам;</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долевое участие в реализации проектов по развитию инфраструктуры (переподготовка и повышение квалификации кадров).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г) кластер "Индустрия здоровья". В составе форм и инструментов государственной поддержки: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налоговые льготы;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инвестиционные налоговые кредиты, предоставляемые для разработки и внедрения новых медицинских технологий, видов медицинской техники;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целевые областные программы развития здравоохранения; гранты на научно-технические разработки, финансируемые из бюджета развития субъекта РФ.</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 кластер добывающей промышленности. В составе форм и инструментов его государственной поддержки востребованы: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заключение концессионных соглашений, в числе участников которых, с одной стороны, федеральные и региональные власти, с другой, крупные российские финансово-промышленные группы, а также транснациональные компании;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бюджетное финансирование геологоразведочных работ, ориентированных на уточнение объемов рудных месторождений и условий их разработки; гранты на реализацию проектов в области НИОКР и профессиональной подготовки кадров для работы в организациях, формирующих ядро кластера.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е) туристско-рекреационный кластер. В составе форм и инструментов государственной поддержки: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бюджетные субсидии на развитие материально-технической базы учреждений санаторно-курортного обслуживания, восстановление и сохранение памятников культуры;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долевое (с участием государства и частного бизнеса) финансирование расширения спектра услуг санаторно-курортного обслуживания, восстановления памятников культуры.</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5.2. Развитие государственно-частного партнерства</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 xml:space="preserve">Повышение вклада государственно-частного партнерства (далее - ГЧП) в инновационное </w:t>
      </w:r>
      <w:r w:rsidRPr="00D269F6">
        <w:rPr>
          <w:rFonts w:ascii="Arial" w:eastAsia="Times New Roman" w:hAnsi="Arial" w:cs="Arial"/>
          <w:color w:val="2D2D2D"/>
          <w:spacing w:val="2"/>
          <w:sz w:val="21"/>
          <w:szCs w:val="21"/>
          <w:lang w:eastAsia="ru-RU"/>
        </w:rPr>
        <w:lastRenderedPageBreak/>
        <w:t>развитие региона связано с апробацией подхода, присущего зарубежной практике, в соответствии с которым ГЧП используется для мобилизации на долгосрочной основе частных инвестиций, предназначенных для развития широкого спектра отраслей производственной и социальной инфраструктуры (энергетика, транспорт, дорожное хозяйство, образование, здравоохранение, культура и др.) регионов.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составе основных направлений развития ГЧП:</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диверсификация сфер реализации проектов ГЧП, организуемого и развиваемого в достаточно широком спектре отраслей экономики и социальной сферы региона;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усиление социальной ориентации проектов ГЧП, проявляющееся в повышении уровня разнообразия проектов, ориентированных на решение социальных задач (строительство и эксплуатация больниц, специализированных медицинских центров, детских садов, школ, вузов, спортивных и рекреационных объектов, музеев и др.);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обеспечение координации действий субъектов разных уровней и видов публичного управления (государственного, муниципального) как участников системы ГЧП;</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обеспечение высокого уровня разнообразия форм и инструментов ГЧП, позволяющего учесть и сбалансировать интересы его участников, различающихся по институциональной природе (государство, муниципалитеты, частный бизнес, институты гражданского общества);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расширение источников финансирования проектов ГЧП, в составе которых: государственные долговые ценные бумаги, средства пенсионных фондов, инвестиционные ресурсы девелоперских компаний и др.;</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обеспечение инновационной направленности ГЧП, синергетический эффект которого достигается объединением и совместным использованием ресурсной базы организаций, создающих и реализующих креативный потенциал (университеты, НИИ, лаборатории), а также предпринимательских структур реального сектора экономики;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обеспечение транспарентности и публичности на всех этапах прохождения проектов ГЧП. Реализация названных принципов позволяет уже на стадии подготовки проектов избежать нарушений по завышению проектного финансирования, предоставлению необоснованных преференций отдельным компаниям, несправедливому распределению ответственности между участниками.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Для повышения заинтересованности частного бизнеса целесообразно использовать алгоритм применения инструментов, содержащий в качестве инвариантных следующие условия: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xml:space="preserve">- минимальный срок действия договоров на аренду и концессию - 15 лет (такой период реализации проектов ГЧП необходим не только для обеспечения полноты окупаемости вкладываемых частным инвестором средств, но и для снижения коммерческого риска, </w:t>
      </w:r>
      <w:r w:rsidRPr="00D269F6">
        <w:rPr>
          <w:rFonts w:ascii="Arial" w:eastAsia="Times New Roman" w:hAnsi="Arial" w:cs="Arial"/>
          <w:color w:val="2D2D2D"/>
          <w:spacing w:val="2"/>
          <w:sz w:val="21"/>
          <w:szCs w:val="21"/>
          <w:lang w:eastAsia="ru-RU"/>
        </w:rPr>
        <w:lastRenderedPageBreak/>
        <w:t>связанного с возможным пересмотром в сторону ухудшения условий передачи объектов государственной и муниципальной собственности в пользование частному лицу при перезаключении договора на новый срок);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предоставление частному инвестору региональных (муниципальных) гарантий для привлечения заемных средств, необходимых для решения вопросов, перечень которых предварительно согласуется всеми сторонами проекта ГЧП.</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Для усиления заинтересованности региональных и местных властей в использовании названных инструментов необходимо: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включение в договор аренды (концессии) раздела, содержащего показатели, отражающие качественные и количественные характеристики государственной (муниципальной) собственности и их динамику по годам реализации проекта ГЧП;</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включение в договор аренды (концессии) пункта, устанавливающего порядок ввода каскадного финансирования, при котором средства регионального и местного бюджетов направляются на финансирование проекта ГЧП только при достижении запланированных объемов инвестирования со стороны частного лица.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Для активизации участия бизнеса в социальном инвестировании, обеспечивающем модернизацию системы образования и здравоохранения и на этой основе - рост объемов и качества предоставляемых организациями этих сфер услуг, частично оплачиваемых или не оплачиваемых населением, целесообразно использование следующих инструментов ГЧП и алгоритмов их применения: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муниципальные и государственные региональные заказы на подготовку рабочих кадров в системе общего и среднего профессионального образования, размещаемые на конкурсной основе в школах и профессиональных училищах при условии финансирования будущими работодателями процессов модернизации материально-технической базы учреждений образования, разработки и внедрения новых образовательных технологий, а также принятия ими обязательств по дальнейшему трудоустройству выпускников на вновь вводимые рабочие места с нормальными санитарно-гигиеническими условиями труда;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муниципальные и государственные региональные гранты на разработку и апробацию новых методов лечения, медицинской аппаратуры при их паритетном или более значительном софинансировании частными инвесторами, получающими льготы по уплате местных и региональных налогов.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Содействие развитию социально ответственного инвестирования сопряжено с применением комплекса преимущественно новых для России инструментов, освоенных в зарубежной практике. В их числе: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налоговые льготы, предоставляемые организациям, использующим очистное оборудование (данный элемент основного капитала может либо совсем не облагаться налогом на имущество, либо применяться пониженная ставка);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br/>
        <w:t>- размещение государственных региональных ценных бумаг для мобилизации средств частных лиц, необходимых для финансирования обновления и расширения материально-технической базы муниципальных предприятий, обеспечивающей снижение производственной нагрузки на экосистему;</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абзац утратил силу. - Постановление правительства Воронежской области от 05.06.2014 N 511;</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субсидии, предназначенные для строительства и установки очистного оборудования, предоставляемые частным предпринимателям, имеющим долгосрочные договора с муниципалитетами на хозяйственное использование объектов муниципальной собственности.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Активизация участия структур гражданского общества, прежде всего, некоммерческих организаций, может быть обеспечена посредством таких инструментов, как:</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аутсорсинг, предусматривающий передачу специализированным некоммерческим организациям части задач управления государственными (муниципальными) предприятиями. В составе таких задач: рекрутинг и повышение квалификации персонала предприятий; разработка стратегий и стратегических планов развития предприятий; анализ внешних условий хозяйствования и оценка возникающих при этом угроз и возможностей;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независимая экспертиза действий топ-менеджмента государственных (муниципальных) предприятий, направленная на выявление признаков их оппортунистического поведения;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независимый аудит финансово-хозяйственной деятельности государственных (муниципальных) предприятий с целью определения резервов снижения их издержек и цен.</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5.3. Развитие инфраструктуры инновационной деятельности</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В рамках этого направления востребованы меры, связанные с развитием целевой функции существующих в регионе технопарков.</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Следует учесть достижения зарубежной практики, в которой технологические парки (технико-внедренческие зоны) представляют собой территориально сгруппированную совокупность научных лабораторий и производственных помещений, предоставляемых на льготных условиях в аренду венчурным фирмам, занятым коммерческим освоением перспективных научных и технологических нововведений.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Совершенствование деятельности воронежских технопарков должно предусматривать их ориентацию на более широкий спектр задач, решение которых обеспечивает реализацию всех стадий инновационного процесса от разработки и экспертизы новшества до выпуска образца товарного продукта и его реализации. Технопарки должны выступать и центрами обучения предпринимателей, технологического трансферта.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Органы власти могут выступить инициаторами заключения государственно-частных кооперационных соглашений, участниками которых могли бы стать исследовательские структуры ведущих вузов региона, отраслевые НИИ, ведущие предприятия реального сектора экономики.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Конкретная цель кооперационных соглашений - передача технологий из государственного научного сектора в частно-предпринимательский производственный сектор и государственное содействие повышению технологического уровня последнего.</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Для осуществления конкретных научно-инновационных проектов участники соглашений о кооперации могут образовывать совместные консорциумы. При этом в качестве вклада государственных организаций выступают объекты интеллектуальной собственности (патенты, технологические разработки). Участие государства в данных консорциумах снижает опасность неконкурентного поведения компаний и неэффективной передачи технологий в негосударственный сектор экономики.</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5.4. Развитие кадрового обеспечения инновационной деятельности</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Развитие кадрового обеспечения инновационной деятельности сопряжено с реформированием сложившейся системы переподготовки и повышения квалификации работников, реализующих функции технической, технологической и организационной подготовки инновационного производства. К основным мерам следует отнести: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обеспечение точечной фокусировки процесса переподготовки и повышения квалификации кадров на удовлетворение актуализированных потребностей конкретных групп работников организаций, осуществляющих технологические, продуктовые и организационные инновации;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переход к модульным программам переподготовки и повышения квалификации кадров для инновационного производства, ориентированным на освоение компетенций, разработанных применительно к конкретной категории работников, реализующих функции технической, технологической и организационной подготовки инновационного производства;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ввод в практику государственного (регионального) и муниципального заказа на обучение работников организаций, реализующих стратегии инновационного обновления технологий и продукции;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создание в регионе с участием Торгово-промышленной палаты Воронежской области на принципах государственно-частного партнерства межотраслевого учебного центра, реализующего модульные программы переподготовки и повышения квалификации работников организаций, реализующих стратегии инновационного обновления технологий и продукции;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восстановление системы внутрифирменной подготовки персонала с учетом сертификации продукции на соответствие международным стандартам серии ISO 9000;</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 установление долгосрочных договорных отношений работодателей с образовательными учреждениями, межотраслевым учебным центром по поводу подготовки, переподготовки и повышения квалификации кадров для инновационного производства;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обучение руководителей высшего звена управления организациями реального сектора экономики и социальной сферы по магистерским программам инновационного менеджмента;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включение в трехсторонние соглашения с органами профсоюзов и работодателей мероприятий по подготовке, переподготовке и повышению квалификации кадров для инновационного производства;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закрепление за вузами в качестве баз для организации производственной и учебной практик предприятий, являющихся инновационно активными;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введение дополнительных стимулирующих выплат молодым специалистам и рабочим, прошедшим переподготовку (повышение квалификации) по программам, ориентированным на формирование компетенций, соответствующих требованиям инновационной экономики.</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5.5. Развитие информационного обеспечения инновационной деятельности</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Совершенствование информационного обеспечения научно-технологической политики региона связано, прежде всего, с формированием системы мониторинга состояния и динамики развития научно-технологического комплекса Воронежской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Основная цель мониторинга - обеспечение органов управления на различных уровнях (федеральном, региональном, муниципальном, отдельного вуза), субъектов хозяйствования достоверной, своевременной и полной информацией, которая является необходимой основой процесса принятия решений, связанных с прогнозированием, планированием и регулированием условий и параметров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Задачами мониторинга являются:</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наблюдение (постоянное, периодическое) посредством установленной системы индикаторов за состоянием, динамикой и результатами инновационной деятельности, осуществляемой в реальном секторе и социальной сфере региона;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выявление общего и особенного в состоянии, динамике и результатах инновационной деятельности, осуществляемой в регионах страны;</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установление, оценка и ранжирование факторов, детерминирующих состояние, динамику и результаты инновационной деятельности в регионе;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определение направлений и степени отклонений фактического состояния инновационного процесса и его результатов от запланированных (желаемых, нормативных);</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lastRenderedPageBreak/>
        <w:t>- диагностика основных ограничений (экономических, организационных, правовых) и проблем развития инновационной деятельности в области;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инициирование принятия оперативных, тактических и стратегических управленческих решений по улучшению условий и развитию ресурсной базы инновационной деятельности, корректировке планов и прогнозов ее развития в среднесрочной и долгосрочной перспективе;</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оценка влияния изменений в научно-технологической политике, проводимой федеральным центром и исполнительными органами государственной власти Воронежской области, на состояние, динамику и результаты инновационной деятельности;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оценка изменений основных параметров "входа" и "выхода" инновационной деятельности в долгосрочном временном интервале и на этой основе - выявление тенденций и разработка прогнозов ее развития.</w:t>
      </w:r>
    </w:p>
    <w:p w:rsidR="00D269F6" w:rsidRPr="00D269F6" w:rsidRDefault="00D269F6" w:rsidP="00D269F6">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D269F6">
        <w:rPr>
          <w:rFonts w:ascii="Arial" w:eastAsia="Times New Roman" w:hAnsi="Arial" w:cs="Arial"/>
          <w:color w:val="242424"/>
          <w:spacing w:val="2"/>
          <w:sz w:val="23"/>
          <w:szCs w:val="23"/>
          <w:lang w:eastAsia="ru-RU"/>
        </w:rPr>
        <w:t>5.6. Совершенствование организации производства и управления на предприятиях</w:t>
      </w:r>
    </w:p>
    <w:p w:rsidR="00D269F6" w:rsidRPr="00D269F6" w:rsidRDefault="00D269F6" w:rsidP="00D269F6">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69F6">
        <w:rPr>
          <w:rFonts w:ascii="Arial" w:eastAsia="Times New Roman" w:hAnsi="Arial" w:cs="Arial"/>
          <w:color w:val="2D2D2D"/>
          <w:spacing w:val="2"/>
          <w:sz w:val="21"/>
          <w:szCs w:val="21"/>
          <w:lang w:eastAsia="ru-RU"/>
        </w:rPr>
        <w:br/>
        <w:t>Целью преобразований в сфере организации и управления производством является создание условий для повышения производительности труда и конкурентоспособности предприятия на основе формирования и эффективного использования экономико-организационного потенциала технологической модернизации.</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В качестве ключевого направления развития организации и управления производством выступает реализация инновационной концепции производственных систем, включающей:</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формирование и обеспечение функционирования на предприятиях производственных систем, реализующих принципы бережливого производства;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формирование интегрированной системы управления производством на основе широкого использования информационно-коммуникационных технологий в сфере производственной деятельности как составляющей комплексной информационной системы предприятия, поддерживающей его основные бизнес-процессы, объемно-календарное и оперативное планирование, учет производства на рабочих местах (МЕ55-интерфейсы), интеграцию в системы конструкторско-технологической подготовки, логистики, маркетинга;</w:t>
      </w:r>
      <w:r w:rsidRPr="00D269F6">
        <w:rPr>
          <w:rFonts w:ascii="Arial" w:eastAsia="Times New Roman" w:hAnsi="Arial" w:cs="Arial"/>
          <w:color w:val="2D2D2D"/>
          <w:spacing w:val="2"/>
          <w:sz w:val="21"/>
          <w:szCs w:val="21"/>
          <w:lang w:eastAsia="ru-RU"/>
        </w:rPr>
        <w:br/>
      </w:r>
      <w:r w:rsidRPr="00D269F6">
        <w:rPr>
          <w:rFonts w:ascii="Arial" w:eastAsia="Times New Roman" w:hAnsi="Arial" w:cs="Arial"/>
          <w:color w:val="2D2D2D"/>
          <w:spacing w:val="2"/>
          <w:sz w:val="21"/>
          <w:szCs w:val="21"/>
          <w:lang w:eastAsia="ru-RU"/>
        </w:rPr>
        <w:br/>
        <w:t>- развитие инновационной культуры управления производством, ориентированной на долгосрочные приоритеты и непрерывные усовершенствования, как необходимого условия вовлеченности работников в процессы организационных изменений.</w:t>
      </w:r>
    </w:p>
    <w:p w:rsidR="00282D42" w:rsidRDefault="00D269F6">
      <w:r>
        <w:t>тт</w:t>
      </w:r>
    </w:p>
    <w:sectPr w:rsidR="00282D42" w:rsidSect="00282D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269F6"/>
    <w:rsid w:val="000504BC"/>
    <w:rsid w:val="0006329D"/>
    <w:rsid w:val="00135F50"/>
    <w:rsid w:val="00190F10"/>
    <w:rsid w:val="00282D42"/>
    <w:rsid w:val="002D4CC1"/>
    <w:rsid w:val="003734DD"/>
    <w:rsid w:val="003A721A"/>
    <w:rsid w:val="005B1F17"/>
    <w:rsid w:val="006620B8"/>
    <w:rsid w:val="006D6F2B"/>
    <w:rsid w:val="007C4DB3"/>
    <w:rsid w:val="007F35E9"/>
    <w:rsid w:val="00B126E9"/>
    <w:rsid w:val="00B376B3"/>
    <w:rsid w:val="00C750CD"/>
    <w:rsid w:val="00CB5CBE"/>
    <w:rsid w:val="00CD3D1A"/>
    <w:rsid w:val="00D269F6"/>
    <w:rsid w:val="00D30CD1"/>
    <w:rsid w:val="00E40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D42"/>
  </w:style>
  <w:style w:type="paragraph" w:styleId="1">
    <w:name w:val="heading 1"/>
    <w:basedOn w:val="a"/>
    <w:link w:val="10"/>
    <w:uiPriority w:val="9"/>
    <w:qFormat/>
    <w:rsid w:val="00D269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269F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269F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D269F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D269F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69F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269F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269F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D269F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D269F6"/>
    <w:rPr>
      <w:rFonts w:ascii="Times New Roman" w:eastAsia="Times New Roman" w:hAnsi="Times New Roman" w:cs="Times New Roman"/>
      <w:b/>
      <w:bCs/>
      <w:sz w:val="20"/>
      <w:szCs w:val="20"/>
      <w:lang w:eastAsia="ru-RU"/>
    </w:rPr>
  </w:style>
  <w:style w:type="paragraph" w:customStyle="1" w:styleId="headertext">
    <w:name w:val="headertext"/>
    <w:basedOn w:val="a"/>
    <w:rsid w:val="00D269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D269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269F6"/>
    <w:rPr>
      <w:color w:val="0000FF"/>
      <w:u w:val="single"/>
    </w:rPr>
  </w:style>
  <w:style w:type="character" w:styleId="a4">
    <w:name w:val="FollowedHyperlink"/>
    <w:basedOn w:val="a0"/>
    <w:uiPriority w:val="99"/>
    <w:semiHidden/>
    <w:unhideWhenUsed/>
    <w:rsid w:val="00D269F6"/>
    <w:rPr>
      <w:color w:val="800080"/>
      <w:u w:val="single"/>
    </w:rPr>
  </w:style>
  <w:style w:type="paragraph" w:styleId="a5">
    <w:name w:val="Normal (Web)"/>
    <w:basedOn w:val="a"/>
    <w:uiPriority w:val="99"/>
    <w:semiHidden/>
    <w:unhideWhenUsed/>
    <w:rsid w:val="00D269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eveltext">
    <w:name w:val="topleveltext"/>
    <w:basedOn w:val="a"/>
    <w:rsid w:val="00D269F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08936204">
      <w:bodyDiv w:val="1"/>
      <w:marLeft w:val="0"/>
      <w:marRight w:val="0"/>
      <w:marTop w:val="0"/>
      <w:marBottom w:val="0"/>
      <w:divBdr>
        <w:top w:val="none" w:sz="0" w:space="0" w:color="auto"/>
        <w:left w:val="none" w:sz="0" w:space="0" w:color="auto"/>
        <w:bottom w:val="none" w:sz="0" w:space="0" w:color="auto"/>
        <w:right w:val="none" w:sz="0" w:space="0" w:color="auto"/>
      </w:divBdr>
      <w:divsChild>
        <w:div w:id="1836458611">
          <w:marLeft w:val="0"/>
          <w:marRight w:val="0"/>
          <w:marTop w:val="0"/>
          <w:marBottom w:val="0"/>
          <w:divBdr>
            <w:top w:val="none" w:sz="0" w:space="0" w:color="auto"/>
            <w:left w:val="none" w:sz="0" w:space="0" w:color="auto"/>
            <w:bottom w:val="none" w:sz="0" w:space="0" w:color="auto"/>
            <w:right w:val="none" w:sz="0" w:space="0" w:color="auto"/>
          </w:divBdr>
          <w:divsChild>
            <w:div w:id="1277833793">
              <w:marLeft w:val="0"/>
              <w:marRight w:val="0"/>
              <w:marTop w:val="0"/>
              <w:marBottom w:val="0"/>
              <w:divBdr>
                <w:top w:val="none" w:sz="0" w:space="0" w:color="auto"/>
                <w:left w:val="none" w:sz="0" w:space="0" w:color="auto"/>
                <w:bottom w:val="none" w:sz="0" w:space="0" w:color="auto"/>
                <w:right w:val="none" w:sz="0" w:space="0" w:color="auto"/>
              </w:divBdr>
            </w:div>
            <w:div w:id="6029385">
              <w:marLeft w:val="0"/>
              <w:marRight w:val="0"/>
              <w:marTop w:val="0"/>
              <w:marBottom w:val="0"/>
              <w:divBdr>
                <w:top w:val="inset" w:sz="2" w:space="0" w:color="auto"/>
                <w:left w:val="inset" w:sz="2" w:space="1" w:color="auto"/>
                <w:bottom w:val="inset" w:sz="2" w:space="0" w:color="auto"/>
                <w:right w:val="inset" w:sz="2" w:space="1" w:color="auto"/>
              </w:divBdr>
            </w:div>
            <w:div w:id="282175">
              <w:marLeft w:val="0"/>
              <w:marRight w:val="0"/>
              <w:marTop w:val="0"/>
              <w:marBottom w:val="0"/>
              <w:divBdr>
                <w:top w:val="inset" w:sz="2" w:space="0" w:color="auto"/>
                <w:left w:val="inset" w:sz="2" w:space="1" w:color="auto"/>
                <w:bottom w:val="inset" w:sz="2" w:space="0" w:color="auto"/>
                <w:right w:val="inset" w:sz="2" w:space="1" w:color="auto"/>
              </w:divBdr>
            </w:div>
            <w:div w:id="1485396312">
              <w:marLeft w:val="0"/>
              <w:marRight w:val="0"/>
              <w:marTop w:val="0"/>
              <w:marBottom w:val="0"/>
              <w:divBdr>
                <w:top w:val="inset" w:sz="2" w:space="0" w:color="auto"/>
                <w:left w:val="inset" w:sz="2" w:space="1" w:color="auto"/>
                <w:bottom w:val="inset" w:sz="2" w:space="0" w:color="auto"/>
                <w:right w:val="inset" w:sz="2" w:space="1" w:color="auto"/>
              </w:divBdr>
            </w:div>
            <w:div w:id="832259451">
              <w:marLeft w:val="0"/>
              <w:marRight w:val="0"/>
              <w:marTop w:val="0"/>
              <w:marBottom w:val="0"/>
              <w:divBdr>
                <w:top w:val="none" w:sz="0" w:space="0" w:color="auto"/>
                <w:left w:val="none" w:sz="0" w:space="0" w:color="auto"/>
                <w:bottom w:val="none" w:sz="0" w:space="0" w:color="auto"/>
                <w:right w:val="none" w:sz="0" w:space="0" w:color="auto"/>
              </w:divBdr>
            </w:div>
            <w:div w:id="514005487">
              <w:marLeft w:val="0"/>
              <w:marRight w:val="0"/>
              <w:marTop w:val="0"/>
              <w:marBottom w:val="0"/>
              <w:divBdr>
                <w:top w:val="none" w:sz="0" w:space="0" w:color="auto"/>
                <w:left w:val="none" w:sz="0" w:space="0" w:color="auto"/>
                <w:bottom w:val="none" w:sz="0" w:space="0" w:color="auto"/>
                <w:right w:val="none" w:sz="0" w:space="0" w:color="auto"/>
              </w:divBdr>
            </w:div>
            <w:div w:id="1923293523">
              <w:marLeft w:val="0"/>
              <w:marRight w:val="0"/>
              <w:marTop w:val="0"/>
              <w:marBottom w:val="0"/>
              <w:divBdr>
                <w:top w:val="inset" w:sz="2" w:space="0" w:color="auto"/>
                <w:left w:val="inset" w:sz="2" w:space="1" w:color="auto"/>
                <w:bottom w:val="inset" w:sz="2" w:space="0" w:color="auto"/>
                <w:right w:val="inset" w:sz="2" w:space="1" w:color="auto"/>
              </w:divBdr>
            </w:div>
            <w:div w:id="2123261510">
              <w:marLeft w:val="0"/>
              <w:marRight w:val="0"/>
              <w:marTop w:val="0"/>
              <w:marBottom w:val="0"/>
              <w:divBdr>
                <w:top w:val="none" w:sz="0" w:space="0" w:color="auto"/>
                <w:left w:val="none" w:sz="0" w:space="0" w:color="auto"/>
                <w:bottom w:val="none" w:sz="0" w:space="0" w:color="auto"/>
                <w:right w:val="none" w:sz="0" w:space="0" w:color="auto"/>
              </w:divBdr>
            </w:div>
            <w:div w:id="998314306">
              <w:marLeft w:val="0"/>
              <w:marRight w:val="0"/>
              <w:marTop w:val="0"/>
              <w:marBottom w:val="0"/>
              <w:divBdr>
                <w:top w:val="none" w:sz="0" w:space="0" w:color="auto"/>
                <w:left w:val="none" w:sz="0" w:space="0" w:color="auto"/>
                <w:bottom w:val="none" w:sz="0" w:space="0" w:color="auto"/>
                <w:right w:val="none" w:sz="0" w:space="0" w:color="auto"/>
              </w:divBdr>
            </w:div>
            <w:div w:id="765074608">
              <w:marLeft w:val="0"/>
              <w:marRight w:val="0"/>
              <w:marTop w:val="0"/>
              <w:marBottom w:val="0"/>
              <w:divBdr>
                <w:top w:val="none" w:sz="0" w:space="0" w:color="auto"/>
                <w:left w:val="none" w:sz="0" w:space="0" w:color="auto"/>
                <w:bottom w:val="none" w:sz="0" w:space="0" w:color="auto"/>
                <w:right w:val="none" w:sz="0" w:space="0" w:color="auto"/>
              </w:divBdr>
            </w:div>
            <w:div w:id="561330454">
              <w:marLeft w:val="0"/>
              <w:marRight w:val="0"/>
              <w:marTop w:val="0"/>
              <w:marBottom w:val="0"/>
              <w:divBdr>
                <w:top w:val="inset" w:sz="2" w:space="0" w:color="auto"/>
                <w:left w:val="inset" w:sz="2" w:space="1" w:color="auto"/>
                <w:bottom w:val="inset" w:sz="2" w:space="0" w:color="auto"/>
                <w:right w:val="inset" w:sz="2" w:space="1" w:color="auto"/>
              </w:divBdr>
            </w:div>
            <w:div w:id="48242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docs.cntd.ru/document/460186802"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hyperlink" Target="http://docs.cntd.ru/document/460186802" TargetMode="Externa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64</Pages>
  <Words>20337</Words>
  <Characters>115924</Characters>
  <Application>Microsoft Office Word</Application>
  <DocSecurity>0</DocSecurity>
  <Lines>966</Lines>
  <Paragraphs>271</Paragraphs>
  <ScaleCrop>false</ScaleCrop>
  <Company/>
  <LinksUpToDate>false</LinksUpToDate>
  <CharactersWithSpaces>135990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beibit</dc:creator>
  <cp:lastModifiedBy>beibit</cp:lastModifiedBy>
  <cp:revision>1</cp:revision>
  <dcterms:created xsi:type="dcterms:W3CDTF">2017-09-13T10:40:00Z</dcterms:created>
  <dcterms:modified xsi:type="dcterms:W3CDTF">2017-09-13T10:45:00Z</dcterms:modified>
</cp:coreProperties>
</file>